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ED8" w:rsidRPr="00EA4FA4" w:rsidRDefault="00454ED8" w:rsidP="00454ED8">
      <w:pPr>
        <w:spacing w:after="0" w:line="240" w:lineRule="auto"/>
        <w:jc w:val="center"/>
        <w:rPr>
          <w:b/>
          <w:bCs/>
          <w:i/>
          <w:iCs/>
          <w:sz w:val="26"/>
          <w:szCs w:val="26"/>
        </w:rPr>
      </w:pPr>
      <w:bookmarkStart w:id="0" w:name="_Toc184651655"/>
      <w:r w:rsidRPr="00EA4FA4">
        <w:rPr>
          <w:b/>
          <w:bCs/>
          <w:i/>
          <w:iCs/>
          <w:sz w:val="26"/>
          <w:szCs w:val="26"/>
        </w:rPr>
        <w:t>Société des Mines de Phosphates</w:t>
      </w:r>
    </w:p>
    <w:p w:rsidR="00454ED8" w:rsidRPr="00EA4FA4" w:rsidRDefault="00454ED8" w:rsidP="00454ED8">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1234A6" w:rsidRDefault="001234A6" w:rsidP="00E011CD">
      <w:pPr>
        <w:spacing w:after="0"/>
        <w:jc w:val="center"/>
        <w:outlineLvl w:val="0"/>
        <w:rPr>
          <w:rFonts w:ascii="Times New Roman" w:hAnsi="Times New Roman" w:cs="Times New Roman"/>
          <w:b/>
          <w:bCs/>
          <w:smallCaps/>
          <w:color w:val="0000CC"/>
          <w:kern w:val="32"/>
          <w:sz w:val="28"/>
          <w:szCs w:val="28"/>
          <w:u w:val="single"/>
          <w:rtl/>
        </w:rPr>
      </w:pPr>
    </w:p>
    <w:p w:rsidR="00E011CD" w:rsidRPr="00C20D65" w:rsidRDefault="00E011CD" w:rsidP="00E011CD">
      <w:pPr>
        <w:spacing w:after="0"/>
        <w:jc w:val="center"/>
        <w:outlineLvl w:val="0"/>
        <w:rPr>
          <w:rFonts w:ascii="Times New Roman" w:hAnsi="Times New Roman" w:cs="Times New Roman"/>
          <w:b/>
          <w:bCs/>
          <w:smallCaps/>
          <w:color w:val="0000CC"/>
          <w:kern w:val="32"/>
          <w:sz w:val="28"/>
          <w:szCs w:val="28"/>
          <w:u w:val="single"/>
        </w:rPr>
      </w:pPr>
      <w:r w:rsidRPr="00C20D65">
        <w:rPr>
          <w:rFonts w:ascii="Times New Roman" w:hAnsi="Times New Roman" w:cs="Times New Roman"/>
          <w:b/>
          <w:bCs/>
          <w:smallCaps/>
          <w:color w:val="0000CC"/>
          <w:kern w:val="32"/>
          <w:sz w:val="28"/>
          <w:szCs w:val="28"/>
          <w:u w:val="single"/>
        </w:rPr>
        <w:t>Avis d’attribution  provisoire</w:t>
      </w:r>
      <w:bookmarkEnd w:id="0"/>
      <w:r w:rsidRPr="00C20D65">
        <w:rPr>
          <w:rFonts w:ascii="Times New Roman" w:hAnsi="Times New Roman" w:cs="Times New Roman"/>
          <w:b/>
          <w:bCs/>
          <w:smallCaps/>
          <w:color w:val="0000CC"/>
          <w:kern w:val="32"/>
          <w:sz w:val="28"/>
          <w:szCs w:val="28"/>
          <w:u w:val="single"/>
        </w:rPr>
        <w:t xml:space="preserve"> </w:t>
      </w:r>
    </w:p>
    <w:p w:rsidR="00E011CD" w:rsidRDefault="00E011CD" w:rsidP="00917959">
      <w:pPr>
        <w:jc w:val="center"/>
        <w:rPr>
          <w:rFonts w:ascii="Times New Roman" w:hAnsi="Times New Roman" w:cs="Times New Roman"/>
          <w:b/>
          <w:bCs/>
          <w:sz w:val="20"/>
          <w:szCs w:val="20"/>
        </w:rPr>
      </w:pPr>
      <w:r w:rsidRPr="00C20D65">
        <w:rPr>
          <w:rFonts w:ascii="Times New Roman" w:hAnsi="Times New Roman" w:cs="Times New Roman"/>
          <w:b/>
          <w:bCs/>
          <w:sz w:val="20"/>
          <w:szCs w:val="20"/>
        </w:rPr>
        <w:t>N°</w:t>
      </w:r>
      <w:r w:rsidR="002D5925">
        <w:rPr>
          <w:rFonts w:ascii="Times New Roman" w:hAnsi="Times New Roman" w:cs="Times New Roman"/>
          <w:b/>
          <w:bCs/>
          <w:sz w:val="20"/>
          <w:szCs w:val="20"/>
        </w:rPr>
        <w:t>14</w:t>
      </w:r>
      <w:r w:rsidRPr="00C20D65">
        <w:rPr>
          <w:rFonts w:ascii="Times New Roman" w:hAnsi="Times New Roman" w:cs="Times New Roman"/>
          <w:b/>
          <w:bCs/>
          <w:sz w:val="20"/>
          <w:szCs w:val="20"/>
        </w:rPr>
        <w:t>/SOMIPHOS/</w:t>
      </w:r>
      <w:r w:rsidR="006C2057">
        <w:rPr>
          <w:rFonts w:ascii="Times New Roman" w:hAnsi="Times New Roman" w:cs="Times New Roman"/>
          <w:b/>
          <w:bCs/>
          <w:sz w:val="20"/>
          <w:szCs w:val="20"/>
        </w:rPr>
        <w:t>CMDO</w:t>
      </w:r>
      <w:r w:rsidR="00042CCA">
        <w:rPr>
          <w:rFonts w:ascii="Times New Roman" w:hAnsi="Times New Roman" w:cs="Times New Roman"/>
          <w:b/>
          <w:bCs/>
          <w:sz w:val="20"/>
          <w:szCs w:val="20"/>
        </w:rPr>
        <w:t>/</w:t>
      </w:r>
      <w:r w:rsidRPr="00C20D65">
        <w:rPr>
          <w:rFonts w:ascii="Times New Roman" w:hAnsi="Times New Roman" w:cs="Times New Roman"/>
          <w:b/>
          <w:bCs/>
          <w:sz w:val="20"/>
          <w:szCs w:val="20"/>
        </w:rPr>
        <w:t>20</w:t>
      </w:r>
      <w:r w:rsidR="00042CCA">
        <w:rPr>
          <w:rFonts w:ascii="Times New Roman" w:hAnsi="Times New Roman" w:cs="Times New Roman"/>
          <w:b/>
          <w:bCs/>
          <w:sz w:val="20"/>
          <w:szCs w:val="20"/>
        </w:rPr>
        <w:t>2</w:t>
      </w:r>
      <w:r w:rsidR="00917959">
        <w:rPr>
          <w:rFonts w:ascii="Times New Roman" w:hAnsi="Times New Roman" w:cs="Times New Roman"/>
          <w:b/>
          <w:bCs/>
          <w:sz w:val="20"/>
          <w:szCs w:val="20"/>
        </w:rPr>
        <w:t>3</w:t>
      </w:r>
    </w:p>
    <w:p w:rsidR="006C2057" w:rsidRPr="00C20D65" w:rsidRDefault="006C2057" w:rsidP="006C2057">
      <w:pPr>
        <w:jc w:val="center"/>
        <w:rPr>
          <w:rFonts w:ascii="Times New Roman" w:hAnsi="Times New Roman" w:cs="Times New Roman"/>
          <w:b/>
          <w:bCs/>
          <w:sz w:val="20"/>
          <w:szCs w:val="20"/>
        </w:rPr>
      </w:pPr>
      <w:r w:rsidRPr="00C20D65">
        <w:rPr>
          <w:rFonts w:ascii="Times New Roman" w:hAnsi="Times New Roman" w:cs="Times New Roman"/>
          <w:b/>
          <w:bCs/>
          <w:sz w:val="20"/>
          <w:szCs w:val="20"/>
        </w:rPr>
        <w:t xml:space="preserve">NIF: </w:t>
      </w:r>
      <w:r w:rsidRPr="00042CCA">
        <w:rPr>
          <w:rFonts w:ascii="Times New Roman" w:hAnsi="Times New Roman" w:cs="Times New Roman"/>
          <w:b/>
          <w:bCs/>
          <w:sz w:val="20"/>
          <w:szCs w:val="20"/>
        </w:rPr>
        <w:t>000512058306264</w:t>
      </w:r>
      <w:r w:rsidRPr="00C20D65">
        <w:rPr>
          <w:rFonts w:ascii="Times New Roman" w:hAnsi="Times New Roman" w:cs="Times New Roman"/>
          <w:b/>
          <w:bCs/>
          <w:sz w:val="20"/>
          <w:szCs w:val="20"/>
        </w:rPr>
        <w:t xml:space="preserve"> </w:t>
      </w:r>
      <w:r>
        <w:rPr>
          <w:rFonts w:ascii="Times New Roman" w:hAnsi="Times New Roman" w:cs="Times New Roman"/>
          <w:b/>
          <w:bCs/>
          <w:sz w:val="20"/>
          <w:szCs w:val="20"/>
        </w:rPr>
        <w:t xml:space="preserve"> TIN :</w:t>
      </w:r>
      <w:r w:rsidRPr="006C0D9C">
        <w:rPr>
          <w:rFonts w:ascii="Times New Roman" w:hAnsi="Times New Roman" w:cs="Times New Roman"/>
          <w:b/>
          <w:bCs/>
          <w:sz w:val="20"/>
          <w:szCs w:val="20"/>
        </w:rPr>
        <w:t xml:space="preserve"> 00091057</w:t>
      </w:r>
    </w:p>
    <w:p w:rsidR="00E011CD" w:rsidRDefault="00E011CD" w:rsidP="002D5925">
      <w:pPr>
        <w:spacing w:after="0" w:line="240" w:lineRule="auto"/>
        <w:jc w:val="both"/>
        <w:rPr>
          <w:rFonts w:asciiTheme="minorHAnsi" w:hAnsiTheme="minorHAnsi" w:cs="Times New Roman"/>
        </w:rPr>
      </w:pPr>
      <w:r w:rsidRPr="001234A6">
        <w:rPr>
          <w:rFonts w:asciiTheme="minorHAnsi" w:hAnsiTheme="minorHAnsi" w:cs="Times New Roman"/>
        </w:rPr>
        <w:t>Conformément à la procédure interne</w:t>
      </w:r>
      <w:r w:rsidR="006C2057">
        <w:rPr>
          <w:rFonts w:asciiTheme="minorHAnsi" w:hAnsiTheme="minorHAnsi" w:cs="Times New Roman"/>
        </w:rPr>
        <w:t xml:space="preserve"> </w:t>
      </w:r>
      <w:r w:rsidR="006C2057" w:rsidRPr="001234A6">
        <w:rPr>
          <w:rFonts w:asciiTheme="minorHAnsi" w:hAnsiTheme="minorHAnsi" w:cs="Times New Roman"/>
        </w:rPr>
        <w:t>relative aux achats et à la passation des marchés (P11/V6)</w:t>
      </w:r>
      <w:r w:rsidRPr="001234A6">
        <w:rPr>
          <w:rFonts w:asciiTheme="minorHAnsi" w:hAnsiTheme="minorHAnsi" w:cs="Times New Roman"/>
        </w:rPr>
        <w:t xml:space="preserve"> de la </w:t>
      </w:r>
      <w:r w:rsidR="006C2057" w:rsidRPr="006C2057">
        <w:rPr>
          <w:rFonts w:asciiTheme="minorHAnsi" w:hAnsiTheme="minorHAnsi" w:cs="Times New Roman"/>
          <w:b/>
          <w:bCs/>
        </w:rPr>
        <w:t>S</w:t>
      </w:r>
      <w:r w:rsidRPr="006C2057">
        <w:rPr>
          <w:rFonts w:asciiTheme="minorHAnsi" w:hAnsiTheme="minorHAnsi" w:cs="Times New Roman"/>
          <w:b/>
          <w:bCs/>
        </w:rPr>
        <w:t>ociété des</w:t>
      </w:r>
      <w:r w:rsidRPr="001234A6">
        <w:rPr>
          <w:rFonts w:asciiTheme="minorHAnsi" w:hAnsiTheme="minorHAnsi" w:cs="Times New Roman"/>
        </w:rPr>
        <w:t xml:space="preserve"> </w:t>
      </w:r>
      <w:r w:rsidRPr="001234A6">
        <w:rPr>
          <w:rFonts w:asciiTheme="minorHAnsi" w:hAnsiTheme="minorHAnsi" w:cs="Times New Roman"/>
          <w:b/>
          <w:bCs/>
          <w:noProof/>
        </w:rPr>
        <w:t>Mines de Phosphate</w:t>
      </w:r>
      <w:r w:rsidR="006C2057">
        <w:rPr>
          <w:rFonts w:asciiTheme="minorHAnsi" w:hAnsiTheme="minorHAnsi" w:cs="Times New Roman"/>
          <w:b/>
          <w:bCs/>
          <w:noProof/>
        </w:rPr>
        <w:t>-</w:t>
      </w:r>
      <w:r w:rsidRPr="001234A6">
        <w:rPr>
          <w:rFonts w:asciiTheme="minorHAnsi" w:hAnsiTheme="minorHAnsi" w:cs="Times New Roman"/>
        </w:rPr>
        <w:t xml:space="preserve">SOMIPHOS, informe l’ensemble des soumissionnaires ayant participé à l’avis d’Appel d’Offre </w:t>
      </w:r>
      <w:r w:rsidR="00042CCA" w:rsidRPr="001234A6">
        <w:rPr>
          <w:rFonts w:asciiTheme="minorHAnsi" w:hAnsiTheme="minorHAnsi" w:cs="Times New Roman"/>
        </w:rPr>
        <w:t xml:space="preserve">National </w:t>
      </w:r>
      <w:r w:rsidR="006C2057">
        <w:rPr>
          <w:rFonts w:asciiTheme="minorHAnsi" w:hAnsiTheme="minorHAnsi" w:cs="Times New Roman"/>
        </w:rPr>
        <w:t xml:space="preserve">et international </w:t>
      </w:r>
      <w:r w:rsidRPr="001234A6">
        <w:rPr>
          <w:rFonts w:asciiTheme="minorHAnsi" w:hAnsiTheme="minorHAnsi" w:cs="Times New Roman"/>
        </w:rPr>
        <w:t>N°</w:t>
      </w:r>
      <w:r w:rsidR="002D5925">
        <w:rPr>
          <w:rFonts w:asciiTheme="minorHAnsi" w:hAnsiTheme="minorHAnsi" w:cs="Times New Roman"/>
        </w:rPr>
        <w:t>14</w:t>
      </w:r>
      <w:r w:rsidRPr="001234A6">
        <w:rPr>
          <w:rFonts w:asciiTheme="minorHAnsi" w:hAnsiTheme="minorHAnsi" w:cs="Times New Roman"/>
        </w:rPr>
        <w:t>/SOMIPHOS/</w:t>
      </w:r>
      <w:r w:rsidR="006C2057">
        <w:rPr>
          <w:rFonts w:asciiTheme="minorHAnsi" w:hAnsiTheme="minorHAnsi" w:cs="Times New Roman"/>
        </w:rPr>
        <w:t>CMDO</w:t>
      </w:r>
      <w:r w:rsidR="00042CCA" w:rsidRPr="001234A6">
        <w:rPr>
          <w:rFonts w:asciiTheme="minorHAnsi" w:hAnsiTheme="minorHAnsi" w:cs="Times New Roman"/>
        </w:rPr>
        <w:t>/</w:t>
      </w:r>
      <w:r w:rsidRPr="001234A6">
        <w:rPr>
          <w:rFonts w:asciiTheme="minorHAnsi" w:hAnsiTheme="minorHAnsi" w:cs="Times New Roman"/>
        </w:rPr>
        <w:t>20</w:t>
      </w:r>
      <w:r w:rsidR="00042CCA" w:rsidRPr="001234A6">
        <w:rPr>
          <w:rFonts w:asciiTheme="minorHAnsi" w:hAnsiTheme="minorHAnsi" w:cs="Times New Roman"/>
        </w:rPr>
        <w:t>2</w:t>
      </w:r>
      <w:r w:rsidR="002D5925">
        <w:rPr>
          <w:rFonts w:asciiTheme="minorHAnsi" w:hAnsiTheme="minorHAnsi" w:cs="Times New Roman"/>
        </w:rPr>
        <w:t>3</w:t>
      </w:r>
      <w:r w:rsidR="001234A6">
        <w:rPr>
          <w:rFonts w:asciiTheme="minorHAnsi" w:hAnsiTheme="minorHAnsi" w:cs="Times New Roman"/>
        </w:rPr>
        <w:t>, portant sur :</w:t>
      </w:r>
    </w:p>
    <w:p w:rsidR="006C2057" w:rsidRPr="001234A6" w:rsidRDefault="006C2057" w:rsidP="006C2057">
      <w:pPr>
        <w:spacing w:after="0" w:line="240" w:lineRule="auto"/>
        <w:jc w:val="both"/>
        <w:rPr>
          <w:rFonts w:asciiTheme="minorHAnsi" w:hAnsiTheme="minorHAnsi" w:cs="Times New Roman"/>
        </w:rPr>
      </w:pPr>
    </w:p>
    <w:p w:rsidR="002D5925" w:rsidRPr="00DE3A59" w:rsidRDefault="002D5925" w:rsidP="002D5925">
      <w:pPr>
        <w:spacing w:after="0" w:line="240" w:lineRule="auto"/>
        <w:jc w:val="center"/>
        <w:rPr>
          <w:rFonts w:cs="Times New Roman"/>
          <w:b/>
          <w:bCs/>
          <w:sz w:val="24"/>
          <w:szCs w:val="24"/>
        </w:rPr>
      </w:pPr>
      <w:r w:rsidRPr="0035472B">
        <w:rPr>
          <w:b/>
          <w:bCs/>
        </w:rPr>
        <w:t>«</w:t>
      </w:r>
      <w:r w:rsidRPr="00DE3A59">
        <w:rPr>
          <w:rFonts w:cs="Times New Roman"/>
          <w:b/>
          <w:bCs/>
          <w:sz w:val="24"/>
          <w:szCs w:val="24"/>
        </w:rPr>
        <w:t>Réhabilitation de deux (02) lignes existantes de l’Atelier de débourbage des phosphates au niveau du Complexe Minier de Djebel Onk – Bir El Ater – W. Tébessa, au profit de la Société des Mines de Phosphate SOMIPHOS, spa, ALGERIE : </w:t>
      </w:r>
    </w:p>
    <w:p w:rsidR="002D5925" w:rsidRPr="00DE3A59" w:rsidRDefault="002D5925" w:rsidP="002D5925">
      <w:pPr>
        <w:spacing w:after="0" w:line="240" w:lineRule="auto"/>
        <w:jc w:val="center"/>
        <w:rPr>
          <w:rFonts w:cs="Times New Roman"/>
          <w:b/>
          <w:bCs/>
          <w:sz w:val="24"/>
          <w:szCs w:val="24"/>
        </w:rPr>
      </w:pPr>
      <w:r w:rsidRPr="00DE3A59">
        <w:rPr>
          <w:rFonts w:cs="Times New Roman"/>
          <w:b/>
          <w:bCs/>
          <w:sz w:val="24"/>
          <w:szCs w:val="24"/>
        </w:rPr>
        <w:t xml:space="preserve">Fourniture, installation et mise en service des équipements d’attrition, de criblage et de </w:t>
      </w:r>
      <w:proofErr w:type="spellStart"/>
      <w:r w:rsidRPr="00DE3A59">
        <w:rPr>
          <w:rFonts w:cs="Times New Roman"/>
          <w:b/>
          <w:bCs/>
          <w:sz w:val="24"/>
          <w:szCs w:val="24"/>
        </w:rPr>
        <w:t>déschlammage</w:t>
      </w:r>
      <w:proofErr w:type="spellEnd"/>
      <w:r w:rsidRPr="00DE3A59">
        <w:rPr>
          <w:rFonts w:cs="Times New Roman"/>
          <w:b/>
          <w:bCs/>
          <w:sz w:val="24"/>
          <w:szCs w:val="24"/>
        </w:rPr>
        <w:t xml:space="preserve"> avec essais de performances ».</w:t>
      </w:r>
    </w:p>
    <w:p w:rsidR="006C2057" w:rsidRPr="002B6DCC" w:rsidRDefault="006C2057" w:rsidP="006C2057">
      <w:pPr>
        <w:spacing w:after="0" w:line="240" w:lineRule="auto"/>
        <w:jc w:val="center"/>
        <w:rPr>
          <w:b/>
          <w:bCs/>
        </w:rPr>
      </w:pPr>
    </w:p>
    <w:p w:rsidR="00E011CD" w:rsidRPr="001234A6" w:rsidRDefault="00BF024A" w:rsidP="002D5925">
      <w:pPr>
        <w:jc w:val="both"/>
        <w:rPr>
          <w:rFonts w:asciiTheme="minorHAnsi" w:hAnsiTheme="minorHAnsi" w:cs="Times New Roman"/>
        </w:rPr>
      </w:pPr>
      <w:r w:rsidRPr="001234A6">
        <w:rPr>
          <w:rFonts w:asciiTheme="minorHAnsi" w:hAnsiTheme="minorHAnsi" w:cs="Times New Roman"/>
        </w:rPr>
        <w:t>Qu’après ouverture et évaluation des offres techniques et financières, le marché est attribué provisoirement au soumissionnaire</w:t>
      </w:r>
      <w:r w:rsidR="006C2057">
        <w:rPr>
          <w:rFonts w:asciiTheme="minorHAnsi" w:hAnsiTheme="minorHAnsi" w:cs="Times New Roman"/>
        </w:rPr>
        <w:t xml:space="preserve"> </w:t>
      </w:r>
      <w:r w:rsidR="002D5925">
        <w:rPr>
          <w:rFonts w:ascii="Century Gothic" w:hAnsi="Century Gothic"/>
          <w:b/>
          <w:bCs/>
        </w:rPr>
        <w:t>AKW APPARATE+VERFAHEN GmbH-Allemagne</w:t>
      </w:r>
      <w:r w:rsidR="00BD4000">
        <w:rPr>
          <w:rFonts w:ascii="Century Gothic" w:hAnsi="Century Gothic"/>
          <w:b/>
          <w:bCs/>
        </w:rPr>
        <w:t>, comme suit</w:t>
      </w:r>
      <w:r w:rsidRPr="001234A6">
        <w:rPr>
          <w:rFonts w:asciiTheme="minorHAnsi" w:hAnsiTheme="minorHAnsi" w:cs="Times New Roman"/>
        </w:rPr>
        <w:t>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2186"/>
        <w:gridCol w:w="1892"/>
        <w:gridCol w:w="1940"/>
      </w:tblGrid>
      <w:tr w:rsidR="00BD4BDC" w:rsidRPr="001234A6" w:rsidTr="00A200C8">
        <w:trPr>
          <w:trHeight w:val="309"/>
          <w:jc w:val="center"/>
        </w:trPr>
        <w:tc>
          <w:tcPr>
            <w:tcW w:w="4330" w:type="dxa"/>
            <w:tcBorders>
              <w:top w:val="single" w:sz="4" w:space="0" w:color="auto"/>
              <w:left w:val="single" w:sz="4" w:space="0" w:color="auto"/>
              <w:bottom w:val="single" w:sz="4" w:space="0" w:color="auto"/>
              <w:right w:val="single" w:sz="4" w:space="0" w:color="auto"/>
            </w:tcBorders>
            <w:vAlign w:val="center"/>
            <w:hideMark/>
          </w:tcPr>
          <w:p w:rsidR="00BD4BDC" w:rsidRPr="001234A6" w:rsidRDefault="00BD4BDC" w:rsidP="00BF024A">
            <w:pPr>
              <w:tabs>
                <w:tab w:val="left" w:pos="540"/>
                <w:tab w:val="left" w:pos="720"/>
              </w:tabs>
              <w:spacing w:after="0"/>
              <w:jc w:val="center"/>
              <w:rPr>
                <w:rFonts w:asciiTheme="minorHAnsi" w:hAnsiTheme="minorHAnsi" w:cs="Times New Roman"/>
                <w:b/>
                <w:bCs/>
              </w:rPr>
            </w:pPr>
            <w:r w:rsidRPr="001234A6">
              <w:rPr>
                <w:rFonts w:asciiTheme="minorHAnsi" w:hAnsiTheme="minorHAnsi" w:cs="Times New Roman"/>
                <w:b/>
                <w:bCs/>
              </w:rPr>
              <w:t>Soumissionnaire</w:t>
            </w:r>
          </w:p>
        </w:tc>
        <w:tc>
          <w:tcPr>
            <w:tcW w:w="2186" w:type="dxa"/>
            <w:tcBorders>
              <w:top w:val="single" w:sz="4" w:space="0" w:color="auto"/>
              <w:left w:val="single" w:sz="4" w:space="0" w:color="auto"/>
              <w:bottom w:val="single" w:sz="4" w:space="0" w:color="auto"/>
              <w:right w:val="single" w:sz="4" w:space="0" w:color="auto"/>
            </w:tcBorders>
            <w:vAlign w:val="center"/>
            <w:hideMark/>
          </w:tcPr>
          <w:p w:rsidR="00BD4BDC" w:rsidRPr="001234A6" w:rsidRDefault="00BD4BDC" w:rsidP="00BF024A">
            <w:pPr>
              <w:tabs>
                <w:tab w:val="left" w:pos="540"/>
                <w:tab w:val="left" w:pos="720"/>
              </w:tabs>
              <w:spacing w:after="0"/>
              <w:jc w:val="center"/>
              <w:rPr>
                <w:rFonts w:asciiTheme="minorHAnsi" w:eastAsia="Times New Roman" w:hAnsiTheme="minorHAnsi" w:cs="Times New Roman"/>
                <w:b/>
                <w:bCs/>
              </w:rPr>
            </w:pPr>
            <w:r w:rsidRPr="001234A6">
              <w:rPr>
                <w:rFonts w:asciiTheme="minorHAnsi" w:hAnsiTheme="minorHAnsi" w:cs="Times New Roman"/>
                <w:b/>
                <w:bCs/>
              </w:rPr>
              <w:t>Montant</w:t>
            </w:r>
          </w:p>
          <w:p w:rsidR="00BD4BDC" w:rsidRPr="001234A6" w:rsidRDefault="00BD4BDC" w:rsidP="002D5925">
            <w:pPr>
              <w:tabs>
                <w:tab w:val="left" w:pos="540"/>
                <w:tab w:val="left" w:pos="720"/>
              </w:tabs>
              <w:spacing w:after="0"/>
              <w:jc w:val="center"/>
              <w:rPr>
                <w:rFonts w:asciiTheme="minorHAnsi" w:hAnsiTheme="minorHAnsi" w:cs="Times New Roman"/>
                <w:b/>
                <w:bCs/>
              </w:rPr>
            </w:pPr>
            <w:r>
              <w:rPr>
                <w:rFonts w:ascii="Century Gothic" w:hAnsi="Century Gothic"/>
                <w:b/>
              </w:rPr>
              <w:t>(</w:t>
            </w:r>
            <w:r w:rsidR="002D5925">
              <w:rPr>
                <w:rFonts w:ascii="Century Gothic" w:hAnsi="Century Gothic"/>
                <w:b/>
              </w:rPr>
              <w:t>en Euro</w:t>
            </w:r>
            <w:r>
              <w:rPr>
                <w:rFonts w:ascii="Century Gothic" w:hAnsi="Century Gothic"/>
                <w:b/>
              </w:rPr>
              <w:t>)</w:t>
            </w:r>
            <w:r w:rsidR="00713954">
              <w:rPr>
                <w:rFonts w:ascii="Century Gothic" w:hAnsi="Century Gothic"/>
                <w:b/>
              </w:rPr>
              <w:t>/CFR</w:t>
            </w:r>
          </w:p>
        </w:tc>
        <w:tc>
          <w:tcPr>
            <w:tcW w:w="1892" w:type="dxa"/>
            <w:tcBorders>
              <w:top w:val="single" w:sz="4" w:space="0" w:color="auto"/>
              <w:left w:val="single" w:sz="4" w:space="0" w:color="auto"/>
              <w:bottom w:val="single" w:sz="4" w:space="0" w:color="auto"/>
              <w:right w:val="single" w:sz="4" w:space="0" w:color="auto"/>
            </w:tcBorders>
            <w:vAlign w:val="center"/>
            <w:hideMark/>
          </w:tcPr>
          <w:p w:rsidR="00BD4BDC" w:rsidRDefault="00BD4BDC" w:rsidP="00BF024A">
            <w:pPr>
              <w:tabs>
                <w:tab w:val="left" w:pos="540"/>
                <w:tab w:val="left" w:pos="720"/>
              </w:tabs>
              <w:spacing w:after="0" w:line="240" w:lineRule="auto"/>
              <w:jc w:val="center"/>
              <w:rPr>
                <w:rFonts w:asciiTheme="minorHAnsi" w:hAnsiTheme="minorHAnsi" w:cs="Times New Roman"/>
                <w:b/>
                <w:bCs/>
              </w:rPr>
            </w:pPr>
            <w:r w:rsidRPr="001234A6">
              <w:rPr>
                <w:rFonts w:asciiTheme="minorHAnsi" w:hAnsiTheme="minorHAnsi" w:cs="Times New Roman"/>
                <w:b/>
                <w:bCs/>
              </w:rPr>
              <w:t>Note globale</w:t>
            </w:r>
          </w:p>
          <w:p w:rsidR="00DD3D8D" w:rsidRPr="001234A6" w:rsidRDefault="00DD3D8D" w:rsidP="00BF024A">
            <w:pPr>
              <w:tabs>
                <w:tab w:val="left" w:pos="540"/>
                <w:tab w:val="left" w:pos="720"/>
              </w:tabs>
              <w:spacing w:after="0" w:line="240" w:lineRule="auto"/>
              <w:jc w:val="center"/>
              <w:rPr>
                <w:rFonts w:asciiTheme="minorHAnsi" w:eastAsia="Times New Roman" w:hAnsiTheme="minorHAnsi" w:cs="Times New Roman"/>
                <w:b/>
                <w:bCs/>
              </w:rPr>
            </w:pPr>
            <w:r>
              <w:rPr>
                <w:rFonts w:asciiTheme="minorHAnsi" w:hAnsiTheme="minorHAnsi" w:cs="Times New Roman"/>
                <w:b/>
                <w:bCs/>
              </w:rPr>
              <w:t>/100</w:t>
            </w:r>
          </w:p>
          <w:p w:rsidR="00BD4BDC" w:rsidRPr="001234A6" w:rsidRDefault="00BD4BDC" w:rsidP="00BF024A">
            <w:pPr>
              <w:tabs>
                <w:tab w:val="left" w:pos="540"/>
                <w:tab w:val="left" w:pos="720"/>
              </w:tabs>
              <w:spacing w:after="0" w:line="240" w:lineRule="auto"/>
              <w:jc w:val="center"/>
              <w:rPr>
                <w:rFonts w:asciiTheme="minorHAnsi" w:hAnsiTheme="minorHAnsi" w:cs="Times New Roman"/>
                <w:b/>
                <w:bCs/>
              </w:rPr>
            </w:pPr>
          </w:p>
        </w:tc>
        <w:tc>
          <w:tcPr>
            <w:tcW w:w="1940" w:type="dxa"/>
            <w:tcBorders>
              <w:top w:val="single" w:sz="4" w:space="0" w:color="auto"/>
              <w:left w:val="single" w:sz="4" w:space="0" w:color="auto"/>
              <w:bottom w:val="single" w:sz="4" w:space="0" w:color="auto"/>
              <w:right w:val="single" w:sz="4" w:space="0" w:color="auto"/>
            </w:tcBorders>
            <w:vAlign w:val="center"/>
            <w:hideMark/>
          </w:tcPr>
          <w:p w:rsidR="00BD4BDC" w:rsidRDefault="00BD4BDC" w:rsidP="00BF024A">
            <w:pPr>
              <w:tabs>
                <w:tab w:val="left" w:pos="540"/>
                <w:tab w:val="left" w:pos="720"/>
              </w:tabs>
              <w:spacing w:after="0"/>
              <w:jc w:val="center"/>
              <w:rPr>
                <w:rFonts w:asciiTheme="minorHAnsi" w:hAnsiTheme="minorHAnsi" w:cs="Times New Roman"/>
                <w:b/>
                <w:bCs/>
              </w:rPr>
            </w:pPr>
            <w:r w:rsidRPr="001234A6">
              <w:rPr>
                <w:rFonts w:asciiTheme="minorHAnsi" w:hAnsiTheme="minorHAnsi" w:cs="Times New Roman"/>
                <w:b/>
                <w:bCs/>
              </w:rPr>
              <w:t>Critère de choix</w:t>
            </w:r>
          </w:p>
          <w:p w:rsidR="00BD4BDC" w:rsidRDefault="00BD4BDC" w:rsidP="00BF024A">
            <w:pPr>
              <w:tabs>
                <w:tab w:val="left" w:pos="540"/>
                <w:tab w:val="left" w:pos="720"/>
              </w:tabs>
              <w:spacing w:after="0"/>
              <w:jc w:val="center"/>
              <w:rPr>
                <w:rFonts w:asciiTheme="minorHAnsi" w:hAnsiTheme="minorHAnsi" w:cs="Times New Roman"/>
                <w:b/>
                <w:bCs/>
              </w:rPr>
            </w:pPr>
            <w:r>
              <w:rPr>
                <w:rFonts w:asciiTheme="minorHAnsi" w:hAnsiTheme="minorHAnsi" w:cs="Times New Roman"/>
                <w:b/>
                <w:bCs/>
              </w:rPr>
              <w:t>Note globale</w:t>
            </w:r>
          </w:p>
          <w:p w:rsidR="00BD4BDC" w:rsidRPr="001234A6" w:rsidRDefault="00BD4BDC" w:rsidP="00BF024A">
            <w:pPr>
              <w:tabs>
                <w:tab w:val="left" w:pos="540"/>
                <w:tab w:val="left" w:pos="720"/>
              </w:tabs>
              <w:spacing w:after="0"/>
              <w:jc w:val="center"/>
              <w:rPr>
                <w:rFonts w:asciiTheme="minorHAnsi" w:hAnsiTheme="minorHAnsi" w:cs="Times New Roman"/>
                <w:b/>
                <w:bCs/>
              </w:rPr>
            </w:pPr>
          </w:p>
        </w:tc>
      </w:tr>
      <w:tr w:rsidR="00BD4BDC" w:rsidRPr="001234A6" w:rsidTr="00A200C8">
        <w:trPr>
          <w:trHeight w:val="394"/>
          <w:jc w:val="center"/>
        </w:trPr>
        <w:tc>
          <w:tcPr>
            <w:tcW w:w="4330" w:type="dxa"/>
            <w:tcBorders>
              <w:top w:val="single" w:sz="4" w:space="0" w:color="auto"/>
              <w:left w:val="single" w:sz="4" w:space="0" w:color="auto"/>
              <w:bottom w:val="single" w:sz="4" w:space="0" w:color="auto"/>
              <w:right w:val="single" w:sz="4" w:space="0" w:color="auto"/>
            </w:tcBorders>
            <w:vAlign w:val="center"/>
            <w:hideMark/>
          </w:tcPr>
          <w:p w:rsidR="005F42B4" w:rsidRPr="005F42B4" w:rsidRDefault="005F42B4" w:rsidP="005F42B4">
            <w:pPr>
              <w:tabs>
                <w:tab w:val="left" w:pos="540"/>
                <w:tab w:val="left" w:pos="720"/>
              </w:tabs>
              <w:spacing w:after="0"/>
              <w:rPr>
                <w:rFonts w:asciiTheme="minorHAnsi" w:hAnsiTheme="minorHAnsi"/>
                <w:b/>
                <w:bCs/>
              </w:rPr>
            </w:pPr>
            <w:r w:rsidRPr="005F42B4">
              <w:rPr>
                <w:rFonts w:asciiTheme="minorHAnsi" w:hAnsiTheme="minorHAnsi" w:cs="Times New Roman"/>
                <w:b/>
                <w:bCs/>
              </w:rPr>
              <w:t xml:space="preserve">Société : </w:t>
            </w:r>
            <w:r w:rsidR="002D5925">
              <w:rPr>
                <w:rFonts w:ascii="Century Gothic" w:hAnsi="Century Gothic"/>
                <w:b/>
                <w:bCs/>
              </w:rPr>
              <w:t>AKW APPARATE+VERFAHEN GmbH-</w:t>
            </w:r>
            <w:r w:rsidR="002D5925">
              <w:rPr>
                <w:rFonts w:ascii="Century Gothic" w:hAnsi="Century Gothic"/>
                <w:b/>
                <w:bCs/>
              </w:rPr>
              <w:t xml:space="preserve">Allemagne </w:t>
            </w:r>
          </w:p>
          <w:p w:rsidR="005F42B4" w:rsidRPr="005A3580" w:rsidRDefault="005F42B4" w:rsidP="00375FBA">
            <w:pPr>
              <w:tabs>
                <w:tab w:val="left" w:pos="540"/>
                <w:tab w:val="left" w:pos="720"/>
              </w:tabs>
              <w:spacing w:after="0"/>
              <w:jc w:val="both"/>
              <w:rPr>
                <w:rFonts w:asciiTheme="minorHAnsi" w:hAnsiTheme="minorHAnsi" w:cs="Times New Roman"/>
                <w:b/>
                <w:bCs/>
              </w:rPr>
            </w:pPr>
            <w:r w:rsidRPr="005A3580">
              <w:rPr>
                <w:rFonts w:asciiTheme="minorHAnsi" w:hAnsiTheme="minorHAnsi" w:cs="Times New Roman"/>
                <w:b/>
                <w:bCs/>
              </w:rPr>
              <w:t xml:space="preserve">NIF : </w:t>
            </w:r>
            <w:r w:rsidR="00375FBA" w:rsidRPr="005A3580">
              <w:rPr>
                <w:rFonts w:asciiTheme="minorHAnsi" w:hAnsiTheme="minorHAnsi" w:cs="Times New Roman"/>
                <w:b/>
                <w:bCs/>
              </w:rPr>
              <w:t>32-134-4533</w:t>
            </w:r>
          </w:p>
          <w:p w:rsidR="005F42B4" w:rsidRPr="002D5925" w:rsidRDefault="005F42B4" w:rsidP="001802C3">
            <w:pPr>
              <w:tabs>
                <w:tab w:val="left" w:pos="540"/>
                <w:tab w:val="left" w:pos="720"/>
              </w:tabs>
              <w:spacing w:after="0"/>
              <w:jc w:val="both"/>
              <w:rPr>
                <w:rFonts w:asciiTheme="minorHAnsi" w:hAnsiTheme="minorHAnsi" w:cs="Times New Roman"/>
                <w:b/>
                <w:bCs/>
                <w:color w:val="FF0000"/>
              </w:rPr>
            </w:pPr>
          </w:p>
          <w:p w:rsidR="005F42B4" w:rsidRPr="005F42B4" w:rsidRDefault="005F42B4" w:rsidP="00BF024A">
            <w:pPr>
              <w:tabs>
                <w:tab w:val="left" w:pos="540"/>
                <w:tab w:val="left" w:pos="720"/>
              </w:tabs>
              <w:spacing w:after="0"/>
              <w:jc w:val="center"/>
              <w:rPr>
                <w:rFonts w:asciiTheme="minorHAnsi" w:hAnsiTheme="minorHAnsi" w:cs="Times New Roman"/>
              </w:rPr>
            </w:pPr>
          </w:p>
        </w:tc>
        <w:tc>
          <w:tcPr>
            <w:tcW w:w="2186" w:type="dxa"/>
            <w:tcBorders>
              <w:top w:val="single" w:sz="4" w:space="0" w:color="auto"/>
              <w:left w:val="single" w:sz="4" w:space="0" w:color="auto"/>
              <w:bottom w:val="single" w:sz="4" w:space="0" w:color="auto"/>
              <w:right w:val="single" w:sz="4" w:space="0" w:color="auto"/>
            </w:tcBorders>
            <w:vAlign w:val="center"/>
            <w:hideMark/>
          </w:tcPr>
          <w:p w:rsidR="00BD4BDC" w:rsidRPr="001234A6" w:rsidRDefault="002D5925" w:rsidP="00BD4BDC">
            <w:pPr>
              <w:tabs>
                <w:tab w:val="left" w:pos="540"/>
                <w:tab w:val="left" w:pos="720"/>
              </w:tabs>
              <w:spacing w:after="0"/>
              <w:jc w:val="center"/>
              <w:rPr>
                <w:rFonts w:asciiTheme="minorHAnsi" w:hAnsiTheme="minorHAnsi" w:cs="Times New Roman"/>
                <w:b/>
                <w:bCs/>
              </w:rPr>
            </w:pPr>
            <w:r>
              <w:rPr>
                <w:rFonts w:ascii="Century Gothic" w:hAnsi="Century Gothic"/>
                <w:b/>
              </w:rPr>
              <w:t xml:space="preserve"> 3 385 000,00</w:t>
            </w:r>
          </w:p>
        </w:tc>
        <w:tc>
          <w:tcPr>
            <w:tcW w:w="1892" w:type="dxa"/>
            <w:tcBorders>
              <w:top w:val="single" w:sz="4" w:space="0" w:color="auto"/>
              <w:left w:val="single" w:sz="4" w:space="0" w:color="auto"/>
              <w:bottom w:val="single" w:sz="4" w:space="0" w:color="auto"/>
              <w:right w:val="single" w:sz="4" w:space="0" w:color="auto"/>
            </w:tcBorders>
            <w:vAlign w:val="center"/>
            <w:hideMark/>
          </w:tcPr>
          <w:p w:rsidR="00BD4BDC" w:rsidRPr="001234A6" w:rsidRDefault="002D5925" w:rsidP="00BF024A">
            <w:pPr>
              <w:tabs>
                <w:tab w:val="left" w:pos="540"/>
                <w:tab w:val="left" w:pos="720"/>
              </w:tabs>
              <w:spacing w:after="0"/>
              <w:jc w:val="center"/>
              <w:rPr>
                <w:rFonts w:asciiTheme="minorHAnsi" w:hAnsiTheme="minorHAnsi" w:cs="Times New Roman"/>
                <w:b/>
                <w:bCs/>
              </w:rPr>
            </w:pPr>
            <w:r>
              <w:rPr>
                <w:rFonts w:asciiTheme="minorHAnsi" w:hAnsiTheme="minorHAnsi" w:cs="Times New Roman"/>
                <w:b/>
                <w:bCs/>
              </w:rPr>
              <w:t>98,13</w:t>
            </w:r>
          </w:p>
        </w:tc>
        <w:tc>
          <w:tcPr>
            <w:tcW w:w="1940" w:type="dxa"/>
            <w:tcBorders>
              <w:top w:val="single" w:sz="4" w:space="0" w:color="auto"/>
              <w:left w:val="single" w:sz="4" w:space="0" w:color="auto"/>
              <w:bottom w:val="single" w:sz="4" w:space="0" w:color="auto"/>
              <w:right w:val="single" w:sz="4" w:space="0" w:color="auto"/>
            </w:tcBorders>
            <w:vAlign w:val="center"/>
            <w:hideMark/>
          </w:tcPr>
          <w:p w:rsidR="00BD4BDC" w:rsidRPr="001234A6" w:rsidRDefault="00BD4BDC" w:rsidP="00BD4BDC">
            <w:pPr>
              <w:tabs>
                <w:tab w:val="left" w:pos="540"/>
                <w:tab w:val="left" w:pos="720"/>
              </w:tabs>
              <w:spacing w:after="0"/>
              <w:jc w:val="center"/>
              <w:rPr>
                <w:rFonts w:asciiTheme="minorHAnsi" w:hAnsiTheme="minorHAnsi" w:cs="Times New Roman"/>
              </w:rPr>
            </w:pPr>
            <w:r w:rsidRPr="001234A6">
              <w:rPr>
                <w:rFonts w:asciiTheme="minorHAnsi" w:hAnsiTheme="minorHAnsi" w:cs="Times New Roman"/>
                <w:b/>
                <w:bCs/>
              </w:rPr>
              <w:t>Mieux</w:t>
            </w:r>
            <w:r>
              <w:rPr>
                <w:rFonts w:asciiTheme="minorHAnsi" w:hAnsiTheme="minorHAnsi" w:cs="Times New Roman"/>
                <w:b/>
                <w:bCs/>
              </w:rPr>
              <w:t xml:space="preserve"> </w:t>
            </w:r>
            <w:r w:rsidRPr="001234A6">
              <w:rPr>
                <w:rFonts w:asciiTheme="minorHAnsi" w:hAnsiTheme="minorHAnsi" w:cs="Times New Roman"/>
                <w:b/>
                <w:bCs/>
              </w:rPr>
              <w:t>disant</w:t>
            </w:r>
          </w:p>
        </w:tc>
      </w:tr>
    </w:tbl>
    <w:p w:rsidR="001234A6" w:rsidRPr="001234A6" w:rsidRDefault="001234A6" w:rsidP="001234A6">
      <w:pPr>
        <w:tabs>
          <w:tab w:val="left" w:pos="540"/>
          <w:tab w:val="left" w:pos="720"/>
        </w:tabs>
        <w:spacing w:after="0" w:line="240" w:lineRule="auto"/>
        <w:jc w:val="both"/>
        <w:rPr>
          <w:rFonts w:asciiTheme="minorHAnsi" w:hAnsiTheme="minorHAnsi"/>
          <w:rtl/>
        </w:rPr>
      </w:pPr>
    </w:p>
    <w:p w:rsidR="002D5925" w:rsidRPr="00BF334D" w:rsidRDefault="002D5925" w:rsidP="003E42FA">
      <w:pPr>
        <w:tabs>
          <w:tab w:val="left" w:pos="540"/>
          <w:tab w:val="left" w:pos="720"/>
        </w:tabs>
        <w:spacing w:after="0" w:line="240" w:lineRule="auto"/>
        <w:jc w:val="both"/>
      </w:pPr>
      <w:r w:rsidRPr="00BF334D">
        <w:t>Tous les soumissionnaires contestant cette attribution</w:t>
      </w:r>
      <w:r>
        <w:t xml:space="preserve"> </w:t>
      </w:r>
      <w:r w:rsidRPr="00BF334D">
        <w:t xml:space="preserve">peuvent introduire un recours auprès de la commission des marchés de SOMIPHOS dans les </w:t>
      </w:r>
      <w:r w:rsidRPr="00BF334D">
        <w:rPr>
          <w:b/>
          <w:bCs/>
        </w:rPr>
        <w:t>dix (10) jours</w:t>
      </w:r>
      <w:r w:rsidRPr="00BF334D">
        <w:t xml:space="preserve"> à compter de la date de publication du présent avis dans les quotidiens nationaux ou le BAOSEM ; adressé à :</w:t>
      </w:r>
    </w:p>
    <w:p w:rsidR="002D5925" w:rsidRPr="00BF334D" w:rsidRDefault="002D5925" w:rsidP="002D5925">
      <w:pPr>
        <w:tabs>
          <w:tab w:val="left" w:pos="540"/>
          <w:tab w:val="left" w:pos="720"/>
        </w:tabs>
        <w:spacing w:after="0" w:line="240" w:lineRule="auto"/>
        <w:jc w:val="both"/>
      </w:pPr>
    </w:p>
    <w:p w:rsidR="002D5925" w:rsidRPr="00BF334D" w:rsidRDefault="002D5925" w:rsidP="002D5925">
      <w:pPr>
        <w:tabs>
          <w:tab w:val="left" w:pos="540"/>
          <w:tab w:val="left" w:pos="720"/>
        </w:tabs>
        <w:spacing w:after="0" w:line="240" w:lineRule="auto"/>
        <w:jc w:val="center"/>
        <w:rPr>
          <w:b/>
          <w:bCs/>
        </w:rPr>
      </w:pPr>
      <w:r w:rsidRPr="00BF334D">
        <w:rPr>
          <w:b/>
          <w:bCs/>
        </w:rPr>
        <w:t>SOMIPHOS, Spa</w:t>
      </w:r>
    </w:p>
    <w:p w:rsidR="002D5925" w:rsidRPr="00BF334D" w:rsidRDefault="002D5925" w:rsidP="002D5925">
      <w:pPr>
        <w:tabs>
          <w:tab w:val="left" w:pos="540"/>
          <w:tab w:val="left" w:pos="720"/>
        </w:tabs>
        <w:spacing w:after="0" w:line="240" w:lineRule="auto"/>
        <w:jc w:val="center"/>
        <w:rPr>
          <w:b/>
          <w:bCs/>
        </w:rPr>
      </w:pPr>
      <w:r w:rsidRPr="00BF334D">
        <w:rPr>
          <w:b/>
          <w:bCs/>
        </w:rPr>
        <w:t>Siège de la Direction Générale, Sis à El Djorf, Tébessa</w:t>
      </w:r>
    </w:p>
    <w:p w:rsidR="002D5925" w:rsidRPr="00BF334D" w:rsidRDefault="002D5925" w:rsidP="002D5925">
      <w:pPr>
        <w:tabs>
          <w:tab w:val="left" w:pos="540"/>
          <w:tab w:val="left" w:pos="720"/>
        </w:tabs>
        <w:spacing w:after="0" w:line="240" w:lineRule="auto"/>
        <w:jc w:val="center"/>
        <w:rPr>
          <w:b/>
          <w:bCs/>
        </w:rPr>
      </w:pPr>
      <w:r w:rsidRPr="00BF334D">
        <w:rPr>
          <w:b/>
          <w:bCs/>
        </w:rPr>
        <w:t>Direction Technique</w:t>
      </w:r>
    </w:p>
    <w:p w:rsidR="002D5925" w:rsidRPr="00BF334D" w:rsidRDefault="002D5925" w:rsidP="002D5925">
      <w:pPr>
        <w:tabs>
          <w:tab w:val="left" w:pos="540"/>
          <w:tab w:val="left" w:pos="720"/>
        </w:tabs>
        <w:spacing w:after="0" w:line="240" w:lineRule="auto"/>
        <w:jc w:val="center"/>
        <w:rPr>
          <w:b/>
          <w:bCs/>
        </w:rPr>
      </w:pPr>
      <w:r w:rsidRPr="00BF334D">
        <w:rPr>
          <w:b/>
          <w:bCs/>
        </w:rPr>
        <w:t>Ou par fax : 037.58.52.61</w:t>
      </w:r>
    </w:p>
    <w:p w:rsidR="002D5925" w:rsidRPr="00BF334D" w:rsidRDefault="002D5925" w:rsidP="002D5925">
      <w:pPr>
        <w:tabs>
          <w:tab w:val="left" w:pos="540"/>
          <w:tab w:val="left" w:pos="720"/>
        </w:tabs>
        <w:spacing w:after="0" w:line="240" w:lineRule="auto"/>
        <w:jc w:val="center"/>
        <w:rPr>
          <w:b/>
          <w:bCs/>
        </w:rPr>
      </w:pPr>
      <w:r w:rsidRPr="00BF334D">
        <w:rPr>
          <w:b/>
          <w:bCs/>
        </w:rPr>
        <w:t xml:space="preserve">Ou par mail : </w:t>
      </w:r>
      <w:hyperlink r:id="rId6" w:history="1">
        <w:r w:rsidRPr="00BF334D">
          <w:rPr>
            <w:rStyle w:val="Lienhypertexte"/>
            <w:b/>
            <w:bCs/>
          </w:rPr>
          <w:t>cdm.somiphos.dg@gmail.com</w:t>
        </w:r>
      </w:hyperlink>
    </w:p>
    <w:p w:rsidR="002D5925" w:rsidRPr="00BF334D" w:rsidRDefault="002D5925" w:rsidP="002D5925">
      <w:pPr>
        <w:tabs>
          <w:tab w:val="left" w:pos="540"/>
          <w:tab w:val="left" w:pos="720"/>
        </w:tabs>
        <w:bidi/>
        <w:spacing w:after="0" w:line="240" w:lineRule="auto"/>
        <w:jc w:val="center"/>
        <w:rPr>
          <w:b/>
          <w:bCs/>
        </w:rPr>
      </w:pPr>
      <w:r w:rsidRPr="00BF334D">
        <w:t>Et</w:t>
      </w:r>
      <w:r>
        <w:t xml:space="preserve"> </w:t>
      </w:r>
      <w:hyperlink r:id="rId7" w:history="1">
        <w:r w:rsidRPr="00BF334D">
          <w:rPr>
            <w:rStyle w:val="Lienhypertexte"/>
            <w:b/>
            <w:bCs/>
          </w:rPr>
          <w:t>appels.offres@somiphos.com</w:t>
        </w:r>
      </w:hyperlink>
      <w:r w:rsidRPr="00BF334D">
        <w:rPr>
          <w:b/>
          <w:bCs/>
        </w:rPr>
        <w:t xml:space="preserve"> </w:t>
      </w:r>
    </w:p>
    <w:p w:rsidR="002D5925" w:rsidRPr="00BF334D" w:rsidRDefault="002D5925" w:rsidP="002D5925">
      <w:pPr>
        <w:tabs>
          <w:tab w:val="left" w:pos="540"/>
          <w:tab w:val="left" w:pos="720"/>
        </w:tabs>
        <w:spacing w:after="0" w:line="240" w:lineRule="auto"/>
        <w:jc w:val="center"/>
        <w:rPr>
          <w:rStyle w:val="Lienhypertexte"/>
          <w:b/>
          <w:bCs/>
        </w:rPr>
      </w:pPr>
    </w:p>
    <w:p w:rsidR="002D5925" w:rsidRDefault="002D5925" w:rsidP="002D5925">
      <w:pPr>
        <w:pStyle w:val="Paragraphedeliste"/>
        <w:autoSpaceDE w:val="0"/>
        <w:autoSpaceDN w:val="0"/>
        <w:adjustRightInd w:val="0"/>
        <w:spacing w:after="0" w:line="240" w:lineRule="auto"/>
        <w:ind w:left="0"/>
        <w:jc w:val="both"/>
        <w:rPr>
          <w:rFonts w:cs="Times New Roman"/>
          <w:sz w:val="24"/>
          <w:szCs w:val="24"/>
          <w:lang w:bidi="ar-DZ"/>
        </w:rPr>
      </w:pPr>
      <w:r w:rsidRPr="00BF334D">
        <w:rPr>
          <w:rFonts w:cs="Times New Roman"/>
          <w:sz w:val="24"/>
          <w:szCs w:val="24"/>
        </w:rPr>
        <w:t xml:space="preserve">Nous invitons également, les soumissionnaires qui souhaitent prendre connaissance des résultats détaillés de l’évaluation de leurs candidatures, offres technique et financière, à se rapprocher de nos services, au plus tard </w:t>
      </w:r>
      <w:r w:rsidRPr="00BF334D">
        <w:rPr>
          <w:rFonts w:cs="Times New Roman"/>
          <w:b/>
          <w:bCs/>
          <w:sz w:val="24"/>
          <w:szCs w:val="24"/>
        </w:rPr>
        <w:t>trois (03) jours</w:t>
      </w:r>
      <w:r w:rsidRPr="00BF334D">
        <w:rPr>
          <w:rFonts w:cs="Times New Roman"/>
          <w:sz w:val="24"/>
          <w:szCs w:val="24"/>
        </w:rPr>
        <w:t xml:space="preserve"> à compter du premier jour de la publication de l’avis d’attribution provisoire du marché, pour leurs communiquer ces résultats.</w:t>
      </w:r>
      <w:r w:rsidRPr="00BF334D">
        <w:rPr>
          <w:rFonts w:cs="Times New Roman"/>
          <w:sz w:val="24"/>
          <w:szCs w:val="24"/>
          <w:lang w:bidi="ar-DZ"/>
        </w:rPr>
        <w:t xml:space="preserve"> </w:t>
      </w:r>
    </w:p>
    <w:p w:rsidR="00BF31D1" w:rsidRPr="00BF334D" w:rsidRDefault="00BF31D1" w:rsidP="002D5925">
      <w:pPr>
        <w:pStyle w:val="Paragraphedeliste"/>
        <w:autoSpaceDE w:val="0"/>
        <w:autoSpaceDN w:val="0"/>
        <w:adjustRightInd w:val="0"/>
        <w:spacing w:after="0" w:line="240" w:lineRule="auto"/>
        <w:ind w:left="0"/>
        <w:jc w:val="both"/>
        <w:rPr>
          <w:rFonts w:cs="Times New Roman"/>
          <w:sz w:val="24"/>
          <w:szCs w:val="24"/>
          <w:lang w:bidi="ar-DZ"/>
        </w:rPr>
      </w:pPr>
    </w:p>
    <w:p w:rsidR="00A66303" w:rsidRPr="00EA4FA4" w:rsidRDefault="00A66303" w:rsidP="00A66303">
      <w:pPr>
        <w:spacing w:after="0" w:line="240" w:lineRule="auto"/>
        <w:jc w:val="center"/>
        <w:rPr>
          <w:b/>
          <w:bCs/>
          <w:i/>
          <w:iCs/>
          <w:sz w:val="26"/>
          <w:szCs w:val="26"/>
        </w:rPr>
      </w:pPr>
      <w:r w:rsidRPr="00EA4FA4">
        <w:rPr>
          <w:b/>
          <w:bCs/>
          <w:i/>
          <w:iCs/>
          <w:sz w:val="26"/>
          <w:szCs w:val="26"/>
        </w:rPr>
        <w:lastRenderedPageBreak/>
        <w:t>Société des Mines de Phosphates</w:t>
      </w:r>
    </w:p>
    <w:p w:rsidR="00A66303" w:rsidRPr="002D5925" w:rsidRDefault="00A66303" w:rsidP="00A66303">
      <w:pPr>
        <w:tabs>
          <w:tab w:val="left" w:pos="2085"/>
          <w:tab w:val="left" w:pos="6639"/>
          <w:tab w:val="right" w:pos="9180"/>
        </w:tabs>
        <w:spacing w:after="0" w:line="240" w:lineRule="auto"/>
        <w:jc w:val="center"/>
        <w:rPr>
          <w:b/>
          <w:bCs/>
          <w:i/>
          <w:iCs/>
          <w:sz w:val="26"/>
          <w:szCs w:val="26"/>
          <w:lang w:val="en-GB"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w:t>
      </w:r>
      <w:proofErr w:type="spellStart"/>
      <w:r w:rsidRPr="002D5925">
        <w:rPr>
          <w:b/>
          <w:bCs/>
          <w:i/>
          <w:iCs/>
          <w:sz w:val="26"/>
          <w:szCs w:val="26"/>
          <w:lang w:val="en-GB" w:bidi="ar-DZ"/>
        </w:rPr>
        <w:t>Filiale</w:t>
      </w:r>
      <w:proofErr w:type="spellEnd"/>
      <w:r w:rsidRPr="002D5925">
        <w:rPr>
          <w:b/>
          <w:bCs/>
          <w:i/>
          <w:iCs/>
          <w:sz w:val="26"/>
          <w:szCs w:val="26"/>
          <w:lang w:val="en-GB" w:bidi="ar-DZ"/>
        </w:rPr>
        <w:t xml:space="preserve"> du </w:t>
      </w:r>
      <w:proofErr w:type="spellStart"/>
      <w:r w:rsidRPr="002D5925">
        <w:rPr>
          <w:b/>
          <w:bCs/>
          <w:i/>
          <w:iCs/>
          <w:sz w:val="26"/>
          <w:szCs w:val="26"/>
          <w:lang w:val="en-GB" w:bidi="ar-DZ"/>
        </w:rPr>
        <w:t>Groupe</w:t>
      </w:r>
      <w:proofErr w:type="spellEnd"/>
      <w:r w:rsidRPr="002D5925">
        <w:rPr>
          <w:b/>
          <w:bCs/>
          <w:i/>
          <w:iCs/>
          <w:sz w:val="26"/>
          <w:szCs w:val="26"/>
          <w:lang w:val="en-GB" w:bidi="ar-DZ"/>
        </w:rPr>
        <w:t xml:space="preserve"> SONAREM</w:t>
      </w:r>
      <w:r w:rsidR="00713954" w:rsidRPr="002D5925">
        <w:rPr>
          <w:b/>
          <w:bCs/>
          <w:i/>
          <w:iCs/>
          <w:sz w:val="26"/>
          <w:szCs w:val="26"/>
          <w:lang w:val="en-GB" w:bidi="ar-DZ"/>
        </w:rPr>
        <w:t xml:space="preserve"> Spa</w:t>
      </w:r>
    </w:p>
    <w:p w:rsidR="00A66303" w:rsidRPr="002D5925" w:rsidRDefault="00A66303" w:rsidP="00A66303">
      <w:pPr>
        <w:spacing w:after="0"/>
        <w:jc w:val="center"/>
        <w:outlineLvl w:val="0"/>
        <w:rPr>
          <w:rFonts w:ascii="Times New Roman" w:hAnsi="Times New Roman" w:cs="Times New Roman"/>
          <w:b/>
          <w:bCs/>
          <w:smallCaps/>
          <w:color w:val="0000CC"/>
          <w:kern w:val="32"/>
          <w:sz w:val="28"/>
          <w:szCs w:val="28"/>
          <w:u w:val="single"/>
          <w:lang w:val="en-GB"/>
        </w:rPr>
      </w:pPr>
    </w:p>
    <w:p w:rsidR="00713954" w:rsidRDefault="00713954" w:rsidP="00A66303">
      <w:pPr>
        <w:spacing w:after="0"/>
        <w:jc w:val="center"/>
        <w:outlineLvl w:val="0"/>
        <w:rPr>
          <w:rFonts w:ascii="Times New Roman" w:hAnsi="Times New Roman" w:cs="Times New Roman"/>
          <w:b/>
          <w:bCs/>
          <w:smallCaps/>
          <w:color w:val="0000CC"/>
          <w:kern w:val="32"/>
          <w:sz w:val="28"/>
          <w:szCs w:val="28"/>
          <w:u w:val="single"/>
          <w:rtl/>
        </w:rPr>
      </w:pPr>
    </w:p>
    <w:p w:rsidR="00713954" w:rsidRPr="00713954" w:rsidRDefault="00713954" w:rsidP="00713954">
      <w:pPr>
        <w:jc w:val="center"/>
        <w:rPr>
          <w:rFonts w:ascii="Times New Roman" w:hAnsi="Times New Roman" w:cs="Times New Roman"/>
          <w:b/>
          <w:bCs/>
          <w:sz w:val="20"/>
          <w:szCs w:val="20"/>
          <w:lang w:val="en-GB"/>
        </w:rPr>
      </w:pPr>
      <w:r w:rsidRPr="00713954">
        <w:rPr>
          <w:rFonts w:ascii="Times New Roman" w:hAnsi="Times New Roman" w:cs="Times New Roman"/>
          <w:b/>
          <w:bCs/>
          <w:sz w:val="20"/>
          <w:szCs w:val="20"/>
          <w:lang w:val="en-GB"/>
        </w:rPr>
        <w:t>NOTICE OF PROVISIONAL ASSIGNMENT</w:t>
      </w:r>
    </w:p>
    <w:p w:rsidR="00BD4000" w:rsidRPr="00BD4000" w:rsidRDefault="00713954" w:rsidP="002D5925">
      <w:pPr>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 xml:space="preserve"> </w:t>
      </w:r>
      <w:r w:rsidR="002D5925">
        <w:rPr>
          <w:rFonts w:ascii="Times New Roman" w:hAnsi="Times New Roman" w:cs="Times New Roman"/>
          <w:b/>
          <w:bCs/>
          <w:sz w:val="20"/>
          <w:szCs w:val="20"/>
          <w:lang w:val="en-GB"/>
        </w:rPr>
        <w:t>N°14</w:t>
      </w:r>
      <w:r w:rsidR="00BD4000" w:rsidRPr="00BD4000">
        <w:rPr>
          <w:rFonts w:ascii="Times New Roman" w:hAnsi="Times New Roman" w:cs="Times New Roman"/>
          <w:b/>
          <w:bCs/>
          <w:sz w:val="20"/>
          <w:szCs w:val="20"/>
          <w:lang w:val="en-GB"/>
        </w:rPr>
        <w:t>/SOMIPHOS/CMDO/202</w:t>
      </w:r>
      <w:r w:rsidR="002D5925">
        <w:rPr>
          <w:rFonts w:ascii="Times New Roman" w:hAnsi="Times New Roman" w:cs="Times New Roman"/>
          <w:b/>
          <w:bCs/>
          <w:sz w:val="20"/>
          <w:szCs w:val="20"/>
          <w:lang w:val="en-GB"/>
        </w:rPr>
        <w:t>3</w:t>
      </w:r>
    </w:p>
    <w:p w:rsidR="00BD4000" w:rsidRPr="00BD4000" w:rsidRDefault="00BD4000" w:rsidP="00BD4000">
      <w:pPr>
        <w:jc w:val="center"/>
        <w:rPr>
          <w:rFonts w:ascii="Times New Roman" w:hAnsi="Times New Roman" w:cs="Times New Roman"/>
          <w:b/>
          <w:bCs/>
          <w:sz w:val="20"/>
          <w:szCs w:val="20"/>
          <w:lang w:val="en-GB"/>
        </w:rPr>
      </w:pPr>
      <w:r w:rsidRPr="00BD4000">
        <w:rPr>
          <w:rFonts w:ascii="Times New Roman" w:hAnsi="Times New Roman" w:cs="Times New Roman"/>
          <w:b/>
          <w:bCs/>
          <w:sz w:val="20"/>
          <w:szCs w:val="20"/>
          <w:lang w:val="en-GB"/>
        </w:rPr>
        <w:t>NIF: 000512058306264 -</w:t>
      </w:r>
      <w:r>
        <w:rPr>
          <w:rFonts w:ascii="Times New Roman" w:hAnsi="Times New Roman" w:cs="Times New Roman"/>
          <w:b/>
          <w:bCs/>
          <w:sz w:val="20"/>
          <w:szCs w:val="20"/>
          <w:lang w:val="en-GB"/>
        </w:rPr>
        <w:t xml:space="preserve"> </w:t>
      </w:r>
      <w:r w:rsidRPr="00BD4000">
        <w:rPr>
          <w:rFonts w:ascii="Times New Roman" w:hAnsi="Times New Roman" w:cs="Times New Roman"/>
          <w:b/>
          <w:bCs/>
          <w:sz w:val="20"/>
          <w:szCs w:val="20"/>
          <w:lang w:val="en-GB"/>
        </w:rPr>
        <w:t>TIN: 00091057</w:t>
      </w:r>
    </w:p>
    <w:p w:rsidR="00BD4000" w:rsidRPr="00BF334D" w:rsidRDefault="00BD4000" w:rsidP="00917959">
      <w:pPr>
        <w:jc w:val="both"/>
        <w:rPr>
          <w:lang w:val="en-GB"/>
        </w:rPr>
      </w:pPr>
      <w:r w:rsidRPr="00BD4000">
        <w:rPr>
          <w:lang w:val="en-GB"/>
        </w:rPr>
        <w:t xml:space="preserve">In accordance with the internal procedure relating to purchases and the award of contracts (P11/V6) of the phosphate mining company -SOMIPHOS, informs all bidders who participated in the National and International Call for Tenders </w:t>
      </w:r>
      <w:r w:rsidRPr="00917959">
        <w:rPr>
          <w:b/>
          <w:bCs/>
          <w:lang w:val="en-GB"/>
        </w:rPr>
        <w:t>N°</w:t>
      </w:r>
      <w:r w:rsidR="00917959" w:rsidRPr="00917959">
        <w:rPr>
          <w:b/>
          <w:bCs/>
          <w:lang w:val="en-GB"/>
        </w:rPr>
        <w:t>14</w:t>
      </w:r>
      <w:r w:rsidRPr="00917959">
        <w:rPr>
          <w:b/>
          <w:bCs/>
          <w:lang w:val="en-GB"/>
        </w:rPr>
        <w:t>/SOMIPHOS/CMDO/202</w:t>
      </w:r>
      <w:r w:rsidR="00917959" w:rsidRPr="00917959">
        <w:rPr>
          <w:b/>
          <w:bCs/>
          <w:lang w:val="en-GB"/>
        </w:rPr>
        <w:t>3</w:t>
      </w:r>
      <w:r w:rsidRPr="00BD4000">
        <w:rPr>
          <w:lang w:val="en-GB"/>
        </w:rPr>
        <w:t xml:space="preserve"> </w:t>
      </w:r>
      <w:r w:rsidRPr="00BF334D">
        <w:rPr>
          <w:lang w:val="en-GB"/>
        </w:rPr>
        <w:t>concerning :</w:t>
      </w:r>
    </w:p>
    <w:p w:rsidR="002D5925" w:rsidRPr="002D5925" w:rsidRDefault="002D5925" w:rsidP="002D5925">
      <w:pPr>
        <w:pStyle w:val="PrformatHTML"/>
        <w:shd w:val="clear" w:color="auto" w:fill="F8F9FA"/>
        <w:jc w:val="center"/>
        <w:rPr>
          <w:rFonts w:ascii="Cambria" w:hAnsi="Cambria" w:cs="Arial"/>
          <w:b/>
          <w:bCs/>
          <w:iCs/>
          <w:sz w:val="22"/>
          <w:szCs w:val="22"/>
          <w:lang w:val="en-US" w:bidi="ar-DZ"/>
        </w:rPr>
      </w:pPr>
      <w:r w:rsidRPr="002D5925">
        <w:rPr>
          <w:rFonts w:ascii="Cambria" w:hAnsi="Cambria" w:cs="Arial"/>
          <w:b/>
          <w:bCs/>
          <w:iCs/>
          <w:sz w:val="22"/>
          <w:szCs w:val="22"/>
          <w:lang w:val="en-US" w:bidi="ar-DZ"/>
        </w:rPr>
        <w:t xml:space="preserve">“Rehabilitation of two (02) existing lines of the phosphate clearing workshop at the </w:t>
      </w:r>
      <w:proofErr w:type="spellStart"/>
      <w:r w:rsidRPr="002D5925">
        <w:rPr>
          <w:rFonts w:ascii="Cambria" w:hAnsi="Cambria" w:cs="Arial"/>
          <w:b/>
          <w:bCs/>
          <w:iCs/>
          <w:sz w:val="22"/>
          <w:szCs w:val="22"/>
          <w:lang w:val="en-US" w:bidi="ar-DZ"/>
        </w:rPr>
        <w:t>Djebel</w:t>
      </w:r>
      <w:proofErr w:type="spellEnd"/>
      <w:r w:rsidRPr="002D5925">
        <w:rPr>
          <w:rFonts w:ascii="Cambria" w:hAnsi="Cambria" w:cs="Arial"/>
          <w:b/>
          <w:bCs/>
          <w:iCs/>
          <w:sz w:val="22"/>
          <w:szCs w:val="22"/>
          <w:lang w:val="en-US" w:bidi="ar-DZ"/>
        </w:rPr>
        <w:t xml:space="preserve"> </w:t>
      </w:r>
      <w:proofErr w:type="spellStart"/>
      <w:r w:rsidRPr="002D5925">
        <w:rPr>
          <w:rFonts w:ascii="Cambria" w:hAnsi="Cambria" w:cs="Arial"/>
          <w:b/>
          <w:bCs/>
          <w:iCs/>
          <w:sz w:val="22"/>
          <w:szCs w:val="22"/>
          <w:lang w:val="en-US" w:bidi="ar-DZ"/>
        </w:rPr>
        <w:t>Onk</w:t>
      </w:r>
      <w:proofErr w:type="spellEnd"/>
      <w:r w:rsidRPr="002D5925">
        <w:rPr>
          <w:rFonts w:ascii="Cambria" w:hAnsi="Cambria" w:cs="Arial"/>
          <w:b/>
          <w:bCs/>
          <w:iCs/>
          <w:sz w:val="22"/>
          <w:szCs w:val="22"/>
          <w:lang w:val="en-US" w:bidi="ar-DZ"/>
        </w:rPr>
        <w:t xml:space="preserve"> Mining Complex – Bir El Ater – W. Tebessa, for the benefit of the Society of phosphate mine</w:t>
      </w:r>
    </w:p>
    <w:p w:rsidR="002D5925" w:rsidRPr="002D5925" w:rsidRDefault="002D5925" w:rsidP="002D5925">
      <w:pPr>
        <w:pStyle w:val="PrformatHTML"/>
        <w:shd w:val="clear" w:color="auto" w:fill="F8F9FA"/>
        <w:jc w:val="center"/>
        <w:rPr>
          <w:rFonts w:ascii="Cambria" w:hAnsi="Cambria" w:cs="Arial"/>
          <w:b/>
          <w:bCs/>
          <w:iCs/>
          <w:sz w:val="22"/>
          <w:szCs w:val="22"/>
          <w:lang w:val="en-US" w:bidi="ar-DZ"/>
        </w:rPr>
      </w:pPr>
      <w:r w:rsidRPr="002D5925">
        <w:rPr>
          <w:rFonts w:ascii="Cambria" w:hAnsi="Cambria" w:cs="Arial"/>
          <w:b/>
          <w:bCs/>
          <w:iCs/>
          <w:sz w:val="22"/>
          <w:szCs w:val="22"/>
          <w:lang w:val="en-US" w:bidi="ar-DZ"/>
        </w:rPr>
        <w:t>SOMIPHOS, spa, ALGERIA:</w:t>
      </w:r>
    </w:p>
    <w:p w:rsidR="002D5925" w:rsidRPr="002D5925" w:rsidRDefault="002D5925" w:rsidP="002D5925">
      <w:pPr>
        <w:pStyle w:val="PrformatHTML"/>
        <w:shd w:val="clear" w:color="auto" w:fill="F8F9FA"/>
        <w:jc w:val="center"/>
        <w:rPr>
          <w:rFonts w:ascii="Cambria" w:hAnsi="Cambria" w:cs="Arial"/>
          <w:b/>
          <w:bCs/>
          <w:iCs/>
          <w:sz w:val="22"/>
          <w:szCs w:val="22"/>
          <w:lang w:val="en-US" w:bidi="ar-DZ"/>
        </w:rPr>
      </w:pPr>
      <w:r w:rsidRPr="002D5925">
        <w:rPr>
          <w:rFonts w:ascii="Cambria" w:hAnsi="Cambria" w:cs="Arial"/>
          <w:b/>
          <w:bCs/>
          <w:iCs/>
          <w:sz w:val="22"/>
          <w:szCs w:val="22"/>
          <w:lang w:val="en-US" w:bidi="ar-DZ"/>
        </w:rPr>
        <w:t xml:space="preserve">Supply, installation and commissioning of attrition, screening and </w:t>
      </w:r>
      <w:proofErr w:type="spellStart"/>
      <w:r w:rsidRPr="002D5925">
        <w:rPr>
          <w:rFonts w:ascii="Cambria" w:hAnsi="Cambria" w:cs="Arial"/>
          <w:b/>
          <w:bCs/>
          <w:iCs/>
          <w:sz w:val="22"/>
          <w:szCs w:val="22"/>
          <w:lang w:val="en-US" w:bidi="ar-DZ"/>
        </w:rPr>
        <w:t>desliming</w:t>
      </w:r>
      <w:proofErr w:type="spellEnd"/>
      <w:r w:rsidRPr="002D5925">
        <w:rPr>
          <w:rFonts w:ascii="Cambria" w:hAnsi="Cambria" w:cs="Arial"/>
          <w:b/>
          <w:bCs/>
          <w:iCs/>
          <w:sz w:val="22"/>
          <w:szCs w:val="22"/>
          <w:lang w:val="en-US" w:bidi="ar-DZ"/>
        </w:rPr>
        <w:t xml:space="preserve"> equipment with performance tests”</w:t>
      </w:r>
    </w:p>
    <w:p w:rsidR="00BD4000" w:rsidRPr="00713F10" w:rsidRDefault="00BD4000" w:rsidP="00BD4000">
      <w:pPr>
        <w:pStyle w:val="PrformatHTML"/>
        <w:shd w:val="clear" w:color="auto" w:fill="F8F9FA"/>
        <w:jc w:val="center"/>
        <w:rPr>
          <w:rFonts w:ascii="Calibri" w:hAnsi="Calibri" w:cs="Arial"/>
          <w:b/>
          <w:bCs/>
          <w:iCs/>
          <w:sz w:val="24"/>
          <w:szCs w:val="24"/>
          <w:lang w:val="en-US" w:bidi="ar-DZ"/>
        </w:rPr>
      </w:pPr>
    </w:p>
    <w:p w:rsidR="00BD4000" w:rsidRPr="00821B92" w:rsidRDefault="00BD4000" w:rsidP="002D5925">
      <w:pPr>
        <w:jc w:val="both"/>
        <w:rPr>
          <w:lang w:val="en-GB"/>
        </w:rPr>
      </w:pPr>
      <w:r w:rsidRPr="00821B92">
        <w:rPr>
          <w:lang w:val="en-GB"/>
        </w:rPr>
        <w:t>That after opening and evaluation of the technical and financial offer, that this call for tenders is provisionally awarded to the bidder named</w:t>
      </w:r>
      <w:r>
        <w:rPr>
          <w:lang w:val="en-GB"/>
        </w:rPr>
        <w:t xml:space="preserve">: </w:t>
      </w:r>
      <w:r w:rsidRPr="00821B92">
        <w:rPr>
          <w:lang w:val="en-GB"/>
        </w:rPr>
        <w:t xml:space="preserve"> </w:t>
      </w:r>
      <w:r w:rsidR="002D5925" w:rsidRPr="002D5925">
        <w:rPr>
          <w:rFonts w:ascii="Century Gothic" w:hAnsi="Century Gothic"/>
          <w:b/>
          <w:bCs/>
          <w:lang w:val="en-GB"/>
        </w:rPr>
        <w:t>AKW APPARATE+VERFAHEN GmbH-</w:t>
      </w:r>
      <w:r w:rsidR="00825F22">
        <w:rPr>
          <w:rFonts w:ascii="Century Gothic" w:hAnsi="Century Gothic"/>
          <w:b/>
          <w:bCs/>
          <w:lang w:val="en-GB"/>
        </w:rPr>
        <w:t xml:space="preserve"> </w:t>
      </w:r>
      <w:r w:rsidR="00825F22" w:rsidRPr="002D5925">
        <w:rPr>
          <w:rFonts w:ascii="Century Gothic" w:hAnsi="Century Gothic"/>
          <w:b/>
          <w:bCs/>
          <w:lang w:val="en-GB"/>
        </w:rPr>
        <w:t>Allemande</w:t>
      </w:r>
      <w:r w:rsidR="002D5925">
        <w:rPr>
          <w:rFonts w:ascii="Century Gothic" w:hAnsi="Century Gothic"/>
          <w:b/>
          <w:bCs/>
          <w:lang w:val="en-GB"/>
        </w:rPr>
        <w:t xml:space="preserve"> </w:t>
      </w:r>
      <w:r w:rsidRPr="00BD4000">
        <w:rPr>
          <w:rFonts w:ascii="Century Gothic" w:hAnsi="Century Gothic"/>
          <w:b/>
          <w:bCs/>
          <w:lang w:val="en-GB"/>
        </w:rPr>
        <w:t xml:space="preserve">, </w:t>
      </w:r>
      <w:r>
        <w:rPr>
          <w:rFonts w:ascii="Century Gothic" w:hAnsi="Century Gothic"/>
          <w:b/>
          <w:bCs/>
          <w:lang w:val="en-GB"/>
        </w:rPr>
        <w:t>as follows</w:t>
      </w:r>
      <w:r w:rsidRPr="00821B92">
        <w:rPr>
          <w:lang w:val="en-GB"/>
        </w:rPr>
        <w:t>:</w:t>
      </w:r>
    </w:p>
    <w:p w:rsidR="00BD4000" w:rsidRPr="00BF334D" w:rsidRDefault="00825F22" w:rsidP="00BD4000">
      <w:pPr>
        <w:jc w:val="both"/>
        <w:rPr>
          <w:lang w:val="en-GB"/>
        </w:rPr>
      </w:pPr>
      <w:r>
        <w:rPr>
          <w:lang w:val="en-GB"/>
        </w:rPr>
        <w:t xml:space="preserve">Allemande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126"/>
        <w:gridCol w:w="1701"/>
        <w:gridCol w:w="1984"/>
      </w:tblGrid>
      <w:tr w:rsidR="009E7E47" w:rsidRPr="0073130D" w:rsidTr="00825F22">
        <w:trPr>
          <w:trHeight w:val="799"/>
          <w:jc w:val="center"/>
        </w:trPr>
        <w:tc>
          <w:tcPr>
            <w:tcW w:w="4390" w:type="dxa"/>
            <w:shd w:val="clear" w:color="auto" w:fill="auto"/>
          </w:tcPr>
          <w:p w:rsidR="009E7E47" w:rsidRPr="0073130D" w:rsidRDefault="009E7E47" w:rsidP="00BC39CE">
            <w:pPr>
              <w:tabs>
                <w:tab w:val="left" w:pos="540"/>
                <w:tab w:val="left" w:pos="720"/>
              </w:tabs>
              <w:jc w:val="center"/>
              <w:rPr>
                <w:rFonts w:asciiTheme="minorHAnsi" w:hAnsiTheme="minorHAnsi"/>
                <w:b/>
                <w:bCs/>
              </w:rPr>
            </w:pPr>
            <w:proofErr w:type="spellStart"/>
            <w:r w:rsidRPr="0073130D">
              <w:rPr>
                <w:rFonts w:asciiTheme="minorHAnsi" w:hAnsiTheme="minorHAnsi"/>
                <w:b/>
                <w:bCs/>
              </w:rPr>
              <w:t>Tenderer</w:t>
            </w:r>
            <w:proofErr w:type="spellEnd"/>
          </w:p>
        </w:tc>
        <w:tc>
          <w:tcPr>
            <w:tcW w:w="2126" w:type="dxa"/>
          </w:tcPr>
          <w:p w:rsidR="009E7E47" w:rsidRPr="0073130D" w:rsidRDefault="009E7E47" w:rsidP="009E7E47">
            <w:pPr>
              <w:tabs>
                <w:tab w:val="left" w:pos="540"/>
                <w:tab w:val="left" w:pos="720"/>
              </w:tabs>
              <w:jc w:val="center"/>
              <w:rPr>
                <w:rFonts w:asciiTheme="minorHAnsi" w:hAnsiTheme="minorHAnsi"/>
                <w:b/>
                <w:bCs/>
              </w:rPr>
            </w:pPr>
            <w:r w:rsidRPr="0073130D">
              <w:rPr>
                <w:rFonts w:asciiTheme="minorHAnsi" w:hAnsiTheme="minorHAnsi"/>
                <w:b/>
                <w:bCs/>
              </w:rPr>
              <w:t>Rising</w:t>
            </w:r>
          </w:p>
          <w:p w:rsidR="009E7E47" w:rsidRPr="0073130D" w:rsidRDefault="00825F22" w:rsidP="00825F22">
            <w:pPr>
              <w:tabs>
                <w:tab w:val="left" w:pos="540"/>
                <w:tab w:val="left" w:pos="720"/>
              </w:tabs>
              <w:jc w:val="center"/>
              <w:rPr>
                <w:rFonts w:asciiTheme="minorHAnsi" w:hAnsiTheme="minorHAnsi"/>
                <w:b/>
                <w:bCs/>
              </w:rPr>
            </w:pPr>
            <w:r>
              <w:rPr>
                <w:rFonts w:asciiTheme="minorHAnsi" w:hAnsiTheme="minorHAnsi"/>
                <w:b/>
                <w:bCs/>
              </w:rPr>
              <w:t>Euro</w:t>
            </w:r>
            <w:r w:rsidR="009E7E47" w:rsidRPr="0073130D">
              <w:rPr>
                <w:rFonts w:asciiTheme="minorHAnsi" w:hAnsiTheme="minorHAnsi"/>
                <w:b/>
                <w:bCs/>
              </w:rPr>
              <w:t>/CFR</w:t>
            </w:r>
          </w:p>
        </w:tc>
        <w:tc>
          <w:tcPr>
            <w:tcW w:w="1701" w:type="dxa"/>
          </w:tcPr>
          <w:p w:rsidR="009E7E47" w:rsidRDefault="0073130D" w:rsidP="009E7E47">
            <w:pPr>
              <w:tabs>
                <w:tab w:val="left" w:pos="540"/>
                <w:tab w:val="left" w:pos="720"/>
              </w:tabs>
              <w:jc w:val="center"/>
              <w:rPr>
                <w:rFonts w:asciiTheme="minorHAnsi" w:hAnsiTheme="minorHAnsi"/>
                <w:b/>
                <w:bCs/>
              </w:rPr>
            </w:pPr>
            <w:r>
              <w:rPr>
                <w:rFonts w:asciiTheme="minorHAnsi" w:hAnsiTheme="minorHAnsi"/>
                <w:b/>
                <w:bCs/>
              </w:rPr>
              <w:t>Global</w:t>
            </w:r>
            <w:r w:rsidR="009E7E47" w:rsidRPr="0073130D">
              <w:rPr>
                <w:rFonts w:asciiTheme="minorHAnsi" w:hAnsiTheme="minorHAnsi"/>
                <w:b/>
                <w:bCs/>
              </w:rPr>
              <w:t xml:space="preserve"> Note</w:t>
            </w:r>
          </w:p>
          <w:p w:rsidR="009E7E47" w:rsidRPr="0073130D" w:rsidRDefault="00DD3D8D" w:rsidP="00DD3D8D">
            <w:pPr>
              <w:tabs>
                <w:tab w:val="left" w:pos="540"/>
                <w:tab w:val="left" w:pos="720"/>
              </w:tabs>
              <w:jc w:val="center"/>
              <w:rPr>
                <w:rFonts w:asciiTheme="minorHAnsi" w:hAnsiTheme="minorHAnsi"/>
                <w:b/>
                <w:bCs/>
              </w:rPr>
            </w:pPr>
            <w:r>
              <w:rPr>
                <w:rFonts w:asciiTheme="minorHAnsi" w:hAnsiTheme="minorHAnsi"/>
                <w:b/>
                <w:bCs/>
              </w:rPr>
              <w:t>/100</w:t>
            </w:r>
          </w:p>
        </w:tc>
        <w:tc>
          <w:tcPr>
            <w:tcW w:w="1984" w:type="dxa"/>
            <w:shd w:val="clear" w:color="auto" w:fill="auto"/>
          </w:tcPr>
          <w:p w:rsidR="009E7E47" w:rsidRPr="0073130D" w:rsidRDefault="009E7E47" w:rsidP="00BC39CE">
            <w:pPr>
              <w:tabs>
                <w:tab w:val="left" w:pos="540"/>
                <w:tab w:val="left" w:pos="720"/>
              </w:tabs>
              <w:jc w:val="center"/>
              <w:rPr>
                <w:rFonts w:asciiTheme="minorHAnsi" w:hAnsiTheme="minorHAnsi"/>
                <w:b/>
                <w:bCs/>
              </w:rPr>
            </w:pPr>
            <w:r w:rsidRPr="0073130D">
              <w:rPr>
                <w:rFonts w:asciiTheme="minorHAnsi" w:hAnsiTheme="minorHAnsi"/>
                <w:b/>
                <w:bCs/>
              </w:rPr>
              <w:t>Choice criteria</w:t>
            </w:r>
          </w:p>
          <w:p w:rsidR="009E7E47" w:rsidRPr="0073130D" w:rsidRDefault="009E7E47" w:rsidP="00825F22">
            <w:pPr>
              <w:tabs>
                <w:tab w:val="left" w:pos="540"/>
                <w:tab w:val="left" w:pos="720"/>
              </w:tabs>
              <w:jc w:val="center"/>
              <w:rPr>
                <w:rFonts w:asciiTheme="minorHAnsi" w:hAnsiTheme="minorHAnsi"/>
                <w:b/>
                <w:bCs/>
              </w:rPr>
            </w:pPr>
            <w:r w:rsidRPr="0073130D">
              <w:rPr>
                <w:rFonts w:asciiTheme="minorHAnsi" w:hAnsiTheme="minorHAnsi"/>
                <w:b/>
                <w:bCs/>
              </w:rPr>
              <w:t xml:space="preserve">Global </w:t>
            </w:r>
            <w:r w:rsidR="007627D5">
              <w:rPr>
                <w:rFonts w:asciiTheme="minorHAnsi" w:hAnsiTheme="minorHAnsi"/>
                <w:b/>
                <w:bCs/>
              </w:rPr>
              <w:t>Note</w:t>
            </w:r>
          </w:p>
        </w:tc>
      </w:tr>
      <w:tr w:rsidR="009E7E47" w:rsidRPr="0073130D" w:rsidTr="00825F22">
        <w:trPr>
          <w:trHeight w:val="1183"/>
          <w:jc w:val="center"/>
        </w:trPr>
        <w:tc>
          <w:tcPr>
            <w:tcW w:w="4390" w:type="dxa"/>
            <w:shd w:val="clear" w:color="auto" w:fill="auto"/>
          </w:tcPr>
          <w:p w:rsidR="009E7E47" w:rsidRPr="0073130D" w:rsidRDefault="009E7E47" w:rsidP="00825F22">
            <w:pPr>
              <w:pStyle w:val="PrformatHTML"/>
              <w:shd w:val="clear" w:color="auto" w:fill="F8F9FA"/>
              <w:rPr>
                <w:rStyle w:val="y2iqfc"/>
                <w:rFonts w:asciiTheme="minorHAnsi" w:eastAsia="Calibri" w:hAnsiTheme="minorHAnsi"/>
                <w:b/>
                <w:bCs/>
                <w:color w:val="1F1F1F"/>
                <w:sz w:val="22"/>
                <w:szCs w:val="22"/>
                <w:lang w:val="en"/>
              </w:rPr>
            </w:pPr>
            <w:r w:rsidRPr="0073130D">
              <w:rPr>
                <w:rStyle w:val="y2iqfc"/>
                <w:rFonts w:asciiTheme="minorHAnsi" w:eastAsia="Calibri" w:hAnsiTheme="minorHAnsi"/>
                <w:b/>
                <w:bCs/>
                <w:color w:val="1F1F1F"/>
                <w:sz w:val="22"/>
                <w:szCs w:val="22"/>
                <w:lang w:val="en"/>
              </w:rPr>
              <w:t xml:space="preserve">Company: </w:t>
            </w:r>
            <w:r w:rsidR="00825F22" w:rsidRPr="002D5925">
              <w:rPr>
                <w:rFonts w:ascii="Century Gothic" w:hAnsi="Century Gothic"/>
                <w:b/>
                <w:bCs/>
                <w:lang w:val="en-GB"/>
              </w:rPr>
              <w:t>AKW APPARATE+VERFAHEN GmbH-</w:t>
            </w:r>
            <w:r w:rsidR="00825F22">
              <w:rPr>
                <w:rFonts w:ascii="Century Gothic" w:hAnsi="Century Gothic"/>
                <w:b/>
                <w:bCs/>
                <w:lang w:val="en-GB"/>
              </w:rPr>
              <w:t xml:space="preserve"> </w:t>
            </w:r>
            <w:r w:rsidR="00917959" w:rsidRPr="00917959">
              <w:rPr>
                <w:rFonts w:ascii="Century Gothic" w:hAnsi="Century Gothic"/>
                <w:b/>
                <w:bCs/>
                <w:lang w:val="en-GB"/>
              </w:rPr>
              <w:t>Germany</w:t>
            </w:r>
          </w:p>
          <w:p w:rsidR="005A3580" w:rsidRPr="00917959" w:rsidRDefault="005A3580" w:rsidP="005A3580">
            <w:pPr>
              <w:tabs>
                <w:tab w:val="left" w:pos="540"/>
                <w:tab w:val="left" w:pos="720"/>
              </w:tabs>
              <w:spacing w:after="0"/>
              <w:jc w:val="both"/>
              <w:rPr>
                <w:rFonts w:asciiTheme="minorHAnsi" w:hAnsiTheme="minorHAnsi" w:cs="Times New Roman"/>
                <w:b/>
                <w:bCs/>
                <w:lang w:val="en-GB"/>
              </w:rPr>
            </w:pPr>
            <w:r w:rsidRPr="00917959">
              <w:rPr>
                <w:rFonts w:asciiTheme="minorHAnsi" w:hAnsiTheme="minorHAnsi" w:cs="Times New Roman"/>
                <w:b/>
                <w:bCs/>
                <w:lang w:val="en-GB"/>
              </w:rPr>
              <w:t>NIF : 32-134-4533</w:t>
            </w:r>
          </w:p>
          <w:p w:rsidR="009E7E47" w:rsidRPr="00917959" w:rsidRDefault="009E7E47" w:rsidP="00825F22">
            <w:pPr>
              <w:pStyle w:val="PrformatHTML"/>
              <w:shd w:val="clear" w:color="auto" w:fill="F8F9FA"/>
              <w:rPr>
                <w:rFonts w:asciiTheme="minorHAnsi" w:hAnsiTheme="minorHAnsi"/>
                <w:b/>
                <w:bCs/>
                <w:sz w:val="22"/>
                <w:szCs w:val="22"/>
                <w:lang w:val="en-GB"/>
              </w:rPr>
            </w:pPr>
          </w:p>
        </w:tc>
        <w:tc>
          <w:tcPr>
            <w:tcW w:w="2126" w:type="dxa"/>
          </w:tcPr>
          <w:p w:rsidR="009E7E47" w:rsidRPr="0073130D" w:rsidRDefault="00825F22" w:rsidP="00BC39CE">
            <w:pPr>
              <w:tabs>
                <w:tab w:val="left" w:pos="540"/>
                <w:tab w:val="left" w:pos="720"/>
              </w:tabs>
              <w:jc w:val="center"/>
              <w:rPr>
                <w:rFonts w:asciiTheme="minorHAnsi" w:hAnsiTheme="minorHAnsi"/>
                <w:b/>
                <w:bCs/>
              </w:rPr>
            </w:pPr>
            <w:r>
              <w:rPr>
                <w:rFonts w:ascii="Century Gothic" w:hAnsi="Century Gothic"/>
                <w:b/>
              </w:rPr>
              <w:t>3 385 000,00</w:t>
            </w:r>
          </w:p>
        </w:tc>
        <w:tc>
          <w:tcPr>
            <w:tcW w:w="1701" w:type="dxa"/>
          </w:tcPr>
          <w:p w:rsidR="009E7E47" w:rsidRPr="0073130D" w:rsidRDefault="00825F22" w:rsidP="009E7E47">
            <w:pPr>
              <w:tabs>
                <w:tab w:val="left" w:pos="540"/>
                <w:tab w:val="left" w:pos="720"/>
              </w:tabs>
              <w:jc w:val="center"/>
              <w:rPr>
                <w:rFonts w:asciiTheme="minorHAnsi" w:hAnsiTheme="minorHAnsi"/>
                <w:b/>
                <w:bCs/>
                <w:lang w:val="en-GB"/>
              </w:rPr>
            </w:pPr>
            <w:r>
              <w:rPr>
                <w:rFonts w:asciiTheme="minorHAnsi" w:hAnsiTheme="minorHAnsi" w:cs="Times New Roman"/>
                <w:b/>
                <w:bCs/>
              </w:rPr>
              <w:t>98,13</w:t>
            </w:r>
          </w:p>
        </w:tc>
        <w:tc>
          <w:tcPr>
            <w:tcW w:w="1984" w:type="dxa"/>
            <w:shd w:val="clear" w:color="auto" w:fill="auto"/>
          </w:tcPr>
          <w:p w:rsidR="009E7E47" w:rsidRPr="0073130D" w:rsidRDefault="009E7E47" w:rsidP="00825F22">
            <w:pPr>
              <w:tabs>
                <w:tab w:val="left" w:pos="540"/>
                <w:tab w:val="left" w:pos="720"/>
              </w:tabs>
              <w:jc w:val="center"/>
              <w:rPr>
                <w:rFonts w:asciiTheme="minorHAnsi" w:hAnsiTheme="minorHAnsi"/>
                <w:lang w:val="en-GB"/>
              </w:rPr>
            </w:pPr>
            <w:proofErr w:type="spellStart"/>
            <w:r w:rsidRPr="0073130D">
              <w:rPr>
                <w:rFonts w:asciiTheme="minorHAnsi" w:hAnsiTheme="minorHAnsi"/>
                <w:b/>
                <w:bCs/>
              </w:rPr>
              <w:t>Better</w:t>
            </w:r>
            <w:proofErr w:type="spellEnd"/>
            <w:r w:rsidRPr="0073130D">
              <w:rPr>
                <w:rFonts w:asciiTheme="minorHAnsi" w:hAnsiTheme="minorHAnsi"/>
                <w:b/>
                <w:bCs/>
              </w:rPr>
              <w:t xml:space="preserve"> </w:t>
            </w:r>
            <w:proofErr w:type="spellStart"/>
            <w:r w:rsidRPr="0073130D">
              <w:rPr>
                <w:rFonts w:asciiTheme="minorHAnsi" w:hAnsiTheme="minorHAnsi"/>
                <w:b/>
                <w:bCs/>
              </w:rPr>
              <w:t>Said</w:t>
            </w:r>
            <w:proofErr w:type="spellEnd"/>
          </w:p>
        </w:tc>
      </w:tr>
    </w:tbl>
    <w:p w:rsidR="00825F22" w:rsidRDefault="00825F22" w:rsidP="00825F22">
      <w:pPr>
        <w:spacing w:after="0" w:line="240" w:lineRule="auto"/>
        <w:jc w:val="both"/>
        <w:rPr>
          <w:lang w:val="en-GB"/>
        </w:rPr>
      </w:pPr>
    </w:p>
    <w:p w:rsidR="00825F22" w:rsidRPr="00BF334D" w:rsidRDefault="00825F22" w:rsidP="00825F22">
      <w:pPr>
        <w:spacing w:after="0" w:line="240" w:lineRule="auto"/>
        <w:jc w:val="both"/>
        <w:rPr>
          <w:lang w:val="en-GB"/>
        </w:rPr>
      </w:pPr>
      <w:r w:rsidRPr="00BF334D">
        <w:rPr>
          <w:lang w:val="en-GB"/>
        </w:rPr>
        <w:t xml:space="preserve">All tenderers contesting this award may lodge an appeal with the SOMIPHOS Contracting Committee within ten (10) days from the date of publication of this notice in the national newspapers or the BAOSEM; addressed to: </w:t>
      </w:r>
    </w:p>
    <w:p w:rsidR="00825F22" w:rsidRPr="00BF334D" w:rsidRDefault="00825F22" w:rsidP="00825F22">
      <w:pPr>
        <w:tabs>
          <w:tab w:val="left" w:pos="540"/>
          <w:tab w:val="left" w:pos="720"/>
        </w:tabs>
        <w:spacing w:after="0" w:line="240" w:lineRule="auto"/>
        <w:jc w:val="center"/>
        <w:rPr>
          <w:b/>
          <w:bCs/>
          <w:lang w:val="en-GB"/>
        </w:rPr>
      </w:pPr>
      <w:r w:rsidRPr="00BF334D">
        <w:rPr>
          <w:lang w:val="en-GB" w:bidi="ar-DZ"/>
        </w:rPr>
        <w:tab/>
      </w:r>
      <w:r w:rsidRPr="00BF334D">
        <w:rPr>
          <w:b/>
          <w:bCs/>
          <w:lang w:val="en-GB"/>
        </w:rPr>
        <w:t>SOMIPHOS, Spa</w:t>
      </w:r>
    </w:p>
    <w:p w:rsidR="00825F22" w:rsidRPr="00BF334D" w:rsidRDefault="00825F22" w:rsidP="00825F22">
      <w:pPr>
        <w:tabs>
          <w:tab w:val="left" w:pos="540"/>
          <w:tab w:val="left" w:pos="720"/>
        </w:tabs>
        <w:spacing w:after="0" w:line="240" w:lineRule="auto"/>
        <w:jc w:val="center"/>
        <w:rPr>
          <w:b/>
          <w:bCs/>
          <w:lang w:val="en"/>
        </w:rPr>
      </w:pPr>
      <w:r w:rsidRPr="00BF334D">
        <w:rPr>
          <w:b/>
          <w:bCs/>
          <w:lang w:val="en"/>
        </w:rPr>
        <w:t>Headquarters of the General Management, located in El Djorf, Tebessa</w:t>
      </w:r>
    </w:p>
    <w:p w:rsidR="00825F22" w:rsidRPr="00BF334D" w:rsidRDefault="00825F22" w:rsidP="00825F22">
      <w:pPr>
        <w:tabs>
          <w:tab w:val="left" w:pos="540"/>
          <w:tab w:val="left" w:pos="720"/>
        </w:tabs>
        <w:spacing w:after="0" w:line="240" w:lineRule="auto"/>
        <w:jc w:val="center"/>
        <w:rPr>
          <w:b/>
          <w:bCs/>
        </w:rPr>
      </w:pPr>
      <w:r w:rsidRPr="00BF334D">
        <w:rPr>
          <w:b/>
          <w:bCs/>
        </w:rPr>
        <w:t xml:space="preserve">Ou/BP 122 Zhune II –12000 Tébessa </w:t>
      </w:r>
      <w:proofErr w:type="spellStart"/>
      <w:r w:rsidRPr="00BF334D">
        <w:rPr>
          <w:b/>
          <w:bCs/>
        </w:rPr>
        <w:t>Algeria</w:t>
      </w:r>
      <w:proofErr w:type="spellEnd"/>
    </w:p>
    <w:p w:rsidR="00825F22" w:rsidRPr="00BF334D" w:rsidRDefault="00825F22" w:rsidP="00825F22">
      <w:pPr>
        <w:tabs>
          <w:tab w:val="left" w:pos="540"/>
          <w:tab w:val="left" w:pos="720"/>
        </w:tabs>
        <w:spacing w:after="0" w:line="240" w:lineRule="auto"/>
        <w:jc w:val="center"/>
        <w:rPr>
          <w:b/>
          <w:bCs/>
          <w:lang w:val="en"/>
        </w:rPr>
      </w:pPr>
      <w:r w:rsidRPr="00BF334D">
        <w:rPr>
          <w:b/>
          <w:bCs/>
        </w:rPr>
        <w:t xml:space="preserve"> </w:t>
      </w:r>
      <w:r w:rsidRPr="00BF334D">
        <w:rPr>
          <w:b/>
          <w:bCs/>
          <w:lang w:val="en"/>
        </w:rPr>
        <w:t>By fax: 037.58.52.61</w:t>
      </w:r>
    </w:p>
    <w:p w:rsidR="00825F22" w:rsidRPr="00BF334D" w:rsidRDefault="00825F22" w:rsidP="00825F22">
      <w:pPr>
        <w:tabs>
          <w:tab w:val="left" w:pos="540"/>
          <w:tab w:val="left" w:pos="720"/>
        </w:tabs>
        <w:spacing w:after="0" w:line="240" w:lineRule="auto"/>
        <w:jc w:val="center"/>
        <w:rPr>
          <w:b/>
          <w:bCs/>
          <w:lang w:val="en-GB"/>
        </w:rPr>
      </w:pPr>
      <w:r w:rsidRPr="00BF334D">
        <w:rPr>
          <w:b/>
          <w:bCs/>
          <w:lang w:val="en"/>
        </w:rPr>
        <w:t xml:space="preserve">Or by mail: </w:t>
      </w:r>
      <w:hyperlink r:id="rId8" w:history="1">
        <w:r w:rsidRPr="00BF334D">
          <w:rPr>
            <w:rStyle w:val="Lienhypertexte"/>
            <w:b/>
            <w:bCs/>
            <w:lang w:val="en-GB"/>
          </w:rPr>
          <w:t>cdm.somiphos.dg@gmail.com</w:t>
        </w:r>
      </w:hyperlink>
    </w:p>
    <w:p w:rsidR="00825F22" w:rsidRPr="00BF334D" w:rsidRDefault="00825F22" w:rsidP="00825F22">
      <w:pPr>
        <w:tabs>
          <w:tab w:val="left" w:pos="540"/>
          <w:tab w:val="left" w:pos="720"/>
        </w:tabs>
        <w:spacing w:after="0" w:line="240" w:lineRule="auto"/>
        <w:jc w:val="center"/>
        <w:rPr>
          <w:b/>
          <w:bCs/>
          <w:lang w:val="en-GB"/>
        </w:rPr>
      </w:pPr>
      <w:r w:rsidRPr="00BF334D">
        <w:t>And</w:t>
      </w:r>
      <w:r>
        <w:t xml:space="preserve"> </w:t>
      </w:r>
      <w:hyperlink r:id="rId9" w:history="1">
        <w:r w:rsidRPr="00BF334D">
          <w:rPr>
            <w:rStyle w:val="Lienhypertexte"/>
            <w:b/>
            <w:bCs/>
            <w:lang w:val="en-GB"/>
          </w:rPr>
          <w:t>appels.offres@somiphos.com</w:t>
        </w:r>
      </w:hyperlink>
    </w:p>
    <w:p w:rsidR="00825F22" w:rsidRPr="00BF334D" w:rsidRDefault="00825F22" w:rsidP="00825F22">
      <w:pPr>
        <w:tabs>
          <w:tab w:val="left" w:pos="3780"/>
        </w:tabs>
        <w:spacing w:after="0" w:line="240" w:lineRule="auto"/>
        <w:rPr>
          <w:lang w:val="en-GB" w:bidi="ar-DZ"/>
        </w:rPr>
      </w:pPr>
    </w:p>
    <w:p w:rsidR="00BD4000" w:rsidRPr="00825F22" w:rsidRDefault="00825F22" w:rsidP="00825F22">
      <w:pPr>
        <w:spacing w:after="0" w:line="240" w:lineRule="auto"/>
        <w:jc w:val="both"/>
        <w:rPr>
          <w:lang w:val="en-GB" w:bidi="ar-DZ"/>
        </w:rPr>
      </w:pPr>
      <w:r w:rsidRPr="00BF334D">
        <w:rPr>
          <w:lang w:val="en-GB"/>
        </w:rPr>
        <w:t>We also invite bidders who wish to see the detailed results of the evaluation of their applications, technical and financial offers, to approach our services, at the latest three (03) days from the first day of publication of the notice of provisional award of the contract, to communicate these results to them.</w:t>
      </w:r>
      <w:r w:rsidR="00BD4000">
        <w:rPr>
          <w:rtl/>
          <w:lang w:val="en-GB" w:bidi="ar-DZ"/>
        </w:rPr>
        <w:br w:type="page"/>
      </w:r>
    </w:p>
    <w:p w:rsidR="00A66303" w:rsidRPr="00EA4FA4" w:rsidRDefault="00A66303" w:rsidP="00A66303">
      <w:pPr>
        <w:spacing w:after="0" w:line="240" w:lineRule="auto"/>
        <w:jc w:val="center"/>
        <w:rPr>
          <w:b/>
          <w:bCs/>
          <w:i/>
          <w:iCs/>
          <w:sz w:val="26"/>
          <w:szCs w:val="26"/>
        </w:rPr>
      </w:pPr>
      <w:r w:rsidRPr="00EA4FA4">
        <w:rPr>
          <w:b/>
          <w:bCs/>
          <w:i/>
          <w:iCs/>
          <w:sz w:val="26"/>
          <w:szCs w:val="26"/>
        </w:rPr>
        <w:lastRenderedPageBreak/>
        <w:t>Société des Mines de Phosphates</w:t>
      </w:r>
    </w:p>
    <w:p w:rsidR="00A66303" w:rsidRPr="00EA4FA4" w:rsidRDefault="00A66303" w:rsidP="00713954">
      <w:pPr>
        <w:tabs>
          <w:tab w:val="left" w:pos="2085"/>
          <w:tab w:val="left" w:pos="6639"/>
          <w:tab w:val="right" w:pos="9180"/>
        </w:tabs>
        <w:spacing w:after="0" w:line="240" w:lineRule="auto"/>
        <w:jc w:val="center"/>
        <w:rPr>
          <w:b/>
          <w:bCs/>
          <w:i/>
          <w:iCs/>
          <w:sz w:val="26"/>
          <w:szCs w:val="26"/>
          <w:lang w:bidi="ar-DZ"/>
        </w:rPr>
      </w:pPr>
      <w:r w:rsidRPr="00EA4FA4">
        <w:rPr>
          <w:b/>
          <w:bCs/>
          <w:i/>
          <w:iCs/>
          <w:sz w:val="26"/>
          <w:szCs w:val="26"/>
          <w:lang w:bidi="ar-DZ"/>
        </w:rPr>
        <w:t xml:space="preserve">SOMIPHOS </w:t>
      </w:r>
      <w:r w:rsidRPr="00EA4FA4">
        <w:rPr>
          <w:b/>
          <w:bCs/>
          <w:i/>
          <w:iCs/>
          <w:sz w:val="28"/>
          <w:szCs w:val="28"/>
          <w:lang w:bidi="ar-DZ"/>
        </w:rPr>
        <w:t>Spa</w:t>
      </w:r>
      <w:r w:rsidRPr="00EA4FA4">
        <w:rPr>
          <w:b/>
          <w:bCs/>
          <w:i/>
          <w:iCs/>
          <w:sz w:val="26"/>
          <w:szCs w:val="26"/>
          <w:lang w:bidi="ar-DZ"/>
        </w:rPr>
        <w:t xml:space="preserve">. Filiale du Groupe </w:t>
      </w:r>
      <w:r>
        <w:rPr>
          <w:b/>
          <w:bCs/>
          <w:i/>
          <w:iCs/>
          <w:sz w:val="26"/>
          <w:szCs w:val="26"/>
          <w:lang w:bidi="ar-DZ"/>
        </w:rPr>
        <w:t>SONAREM</w:t>
      </w:r>
      <w:r w:rsidR="00713954">
        <w:rPr>
          <w:b/>
          <w:bCs/>
          <w:i/>
          <w:iCs/>
          <w:sz w:val="26"/>
          <w:szCs w:val="26"/>
          <w:lang w:bidi="ar-DZ"/>
        </w:rPr>
        <w:t xml:space="preserve"> Spa</w:t>
      </w:r>
    </w:p>
    <w:p w:rsidR="00A66303" w:rsidRDefault="00A66303" w:rsidP="00A66303">
      <w:pPr>
        <w:spacing w:after="0"/>
        <w:jc w:val="center"/>
        <w:outlineLvl w:val="0"/>
        <w:rPr>
          <w:rFonts w:ascii="Times New Roman" w:hAnsi="Times New Roman" w:cs="Times New Roman"/>
          <w:b/>
          <w:bCs/>
          <w:smallCaps/>
          <w:color w:val="0000CC"/>
          <w:kern w:val="32"/>
          <w:sz w:val="28"/>
          <w:szCs w:val="28"/>
          <w:u w:val="single"/>
        </w:rPr>
      </w:pPr>
    </w:p>
    <w:p w:rsidR="00A66303" w:rsidRDefault="00A66303" w:rsidP="00A66303">
      <w:pPr>
        <w:spacing w:after="0"/>
        <w:jc w:val="center"/>
        <w:outlineLvl w:val="0"/>
        <w:rPr>
          <w:rFonts w:ascii="Times New Roman" w:hAnsi="Times New Roman" w:cs="Times New Roman"/>
          <w:b/>
          <w:bCs/>
          <w:smallCaps/>
          <w:color w:val="0000CC"/>
          <w:kern w:val="32"/>
          <w:sz w:val="28"/>
          <w:szCs w:val="28"/>
          <w:u w:val="single"/>
        </w:rPr>
      </w:pPr>
    </w:p>
    <w:p w:rsidR="004A0DAA" w:rsidRDefault="004A0DAA" w:rsidP="004A0DAA">
      <w:pPr>
        <w:bidi/>
        <w:jc w:val="center"/>
        <w:rPr>
          <w:b/>
          <w:bCs/>
          <w:u w:val="single"/>
        </w:rPr>
      </w:pPr>
      <w:r w:rsidRPr="004F6A09">
        <w:rPr>
          <w:rFonts w:hint="cs"/>
          <w:b/>
          <w:bCs/>
          <w:u w:val="single"/>
          <w:rtl/>
        </w:rPr>
        <w:t>إشعار منح مؤقت للصفقة</w:t>
      </w:r>
    </w:p>
    <w:p w:rsidR="00A66303" w:rsidRPr="00A66303" w:rsidRDefault="00A66303" w:rsidP="00EA001D">
      <w:pPr>
        <w:jc w:val="center"/>
        <w:rPr>
          <w:rFonts w:ascii="Times New Roman" w:hAnsi="Times New Roman" w:cs="Times New Roman"/>
          <w:b/>
          <w:bCs/>
          <w:sz w:val="20"/>
          <w:szCs w:val="20"/>
          <w:lang w:val="en-GB"/>
        </w:rPr>
      </w:pPr>
      <w:r w:rsidRPr="00A66303">
        <w:rPr>
          <w:rFonts w:ascii="Times New Roman" w:hAnsi="Times New Roman" w:cs="Times New Roman"/>
          <w:b/>
          <w:bCs/>
          <w:sz w:val="20"/>
          <w:szCs w:val="20"/>
          <w:lang w:val="en-GB"/>
        </w:rPr>
        <w:t>N°</w:t>
      </w:r>
      <w:r w:rsidR="00EA001D">
        <w:rPr>
          <w:rFonts w:ascii="Times New Roman" w:hAnsi="Times New Roman" w:cs="Times New Roman"/>
          <w:b/>
          <w:bCs/>
          <w:sz w:val="20"/>
          <w:szCs w:val="20"/>
          <w:lang w:val="en-GB"/>
        </w:rPr>
        <w:t>14</w:t>
      </w:r>
      <w:r w:rsidRPr="00A66303">
        <w:rPr>
          <w:rFonts w:ascii="Times New Roman" w:hAnsi="Times New Roman" w:cs="Times New Roman"/>
          <w:b/>
          <w:bCs/>
          <w:sz w:val="20"/>
          <w:szCs w:val="20"/>
          <w:lang w:val="en-GB"/>
        </w:rPr>
        <w:t>/SOMIPHOS/CMDO/202</w:t>
      </w:r>
      <w:r w:rsidR="00EA001D">
        <w:rPr>
          <w:rFonts w:ascii="Times New Roman" w:hAnsi="Times New Roman" w:cs="Times New Roman"/>
          <w:b/>
          <w:bCs/>
          <w:sz w:val="20"/>
          <w:szCs w:val="20"/>
          <w:lang w:val="en-GB"/>
        </w:rPr>
        <w:t>3</w:t>
      </w:r>
    </w:p>
    <w:p w:rsidR="00A66303" w:rsidRPr="00A66303" w:rsidRDefault="00A66303" w:rsidP="00A66303">
      <w:pPr>
        <w:jc w:val="center"/>
        <w:rPr>
          <w:rFonts w:ascii="Times New Roman" w:hAnsi="Times New Roman" w:cs="Times New Roman"/>
          <w:b/>
          <w:bCs/>
          <w:sz w:val="20"/>
          <w:szCs w:val="20"/>
          <w:lang w:val="en-GB"/>
        </w:rPr>
      </w:pPr>
      <w:r w:rsidRPr="00A66303">
        <w:rPr>
          <w:rFonts w:ascii="Times New Roman" w:hAnsi="Times New Roman" w:cs="Times New Roman"/>
          <w:b/>
          <w:bCs/>
          <w:sz w:val="20"/>
          <w:szCs w:val="20"/>
          <w:lang w:val="en-GB"/>
        </w:rPr>
        <w:t xml:space="preserve">NIF: </w:t>
      </w:r>
      <w:proofErr w:type="gramStart"/>
      <w:r w:rsidRPr="00A66303">
        <w:rPr>
          <w:rFonts w:ascii="Times New Roman" w:hAnsi="Times New Roman" w:cs="Times New Roman"/>
          <w:b/>
          <w:bCs/>
          <w:sz w:val="20"/>
          <w:szCs w:val="20"/>
          <w:lang w:val="en-GB"/>
        </w:rPr>
        <w:t>000512058306264  TIN</w:t>
      </w:r>
      <w:proofErr w:type="gramEnd"/>
      <w:r w:rsidRPr="00A66303">
        <w:rPr>
          <w:rFonts w:ascii="Times New Roman" w:hAnsi="Times New Roman" w:cs="Times New Roman"/>
          <w:b/>
          <w:bCs/>
          <w:sz w:val="20"/>
          <w:szCs w:val="20"/>
          <w:lang w:val="en-GB"/>
        </w:rPr>
        <w:t> : 00091057</w:t>
      </w:r>
    </w:p>
    <w:p w:rsidR="00A66303" w:rsidRDefault="00A66303" w:rsidP="00BD4000">
      <w:pPr>
        <w:jc w:val="center"/>
        <w:rPr>
          <w:rtl/>
          <w:lang w:val="en-GB" w:bidi="ar-DZ"/>
        </w:rPr>
      </w:pPr>
    </w:p>
    <w:p w:rsidR="00A66303" w:rsidRPr="00A66303" w:rsidRDefault="00A66303" w:rsidP="00A66303">
      <w:pPr>
        <w:pStyle w:val="PrformatHTML"/>
        <w:shd w:val="clear" w:color="auto" w:fill="F8F9FA"/>
        <w:bidi/>
        <w:rPr>
          <w:rStyle w:val="y2iqfc"/>
          <w:rFonts w:ascii="Calibri" w:hAnsi="Calibri" w:cs="Times New Roman"/>
          <w:color w:val="202124"/>
          <w:sz w:val="24"/>
          <w:szCs w:val="24"/>
          <w:lang w:bidi="ar"/>
        </w:rPr>
      </w:pPr>
      <w:r w:rsidRPr="00A66303">
        <w:rPr>
          <w:rStyle w:val="y2iqfc"/>
          <w:rFonts w:ascii="Calibri" w:hAnsi="Calibri" w:cs="Times New Roman" w:hint="cs"/>
          <w:color w:val="202124"/>
          <w:sz w:val="24"/>
          <w:szCs w:val="24"/>
          <w:rtl/>
          <w:lang w:bidi="ar"/>
        </w:rPr>
        <w:t>وفقًا للإجراءات المتعلقة ب</w:t>
      </w:r>
      <w:r w:rsidRPr="00A66303">
        <w:rPr>
          <w:rStyle w:val="y2iqfc"/>
          <w:rFonts w:ascii="Calibri" w:hAnsi="Calibri" w:cs="Times New Roman"/>
          <w:color w:val="202124"/>
          <w:sz w:val="24"/>
          <w:szCs w:val="24"/>
          <w:rtl/>
          <w:lang w:bidi="ar"/>
        </w:rPr>
        <w:t xml:space="preserve"> إجراءات الصفقات</w:t>
      </w:r>
      <w:r w:rsidRPr="00A66303">
        <w:rPr>
          <w:rStyle w:val="y2iqfc"/>
          <w:rFonts w:ascii="Calibri" w:hAnsi="Calibri" w:cs="Times New Roman" w:hint="cs"/>
          <w:color w:val="202124"/>
          <w:sz w:val="24"/>
          <w:szCs w:val="24"/>
          <w:rtl/>
          <w:lang w:bidi="ar"/>
        </w:rPr>
        <w:t xml:space="preserve"> ومنح العقود (</w:t>
      </w:r>
      <w:r w:rsidRPr="00A66303">
        <w:rPr>
          <w:rStyle w:val="y2iqfc"/>
          <w:rFonts w:ascii="Calibri" w:hAnsi="Calibri" w:cs="Times New Roman" w:hint="cs"/>
          <w:color w:val="202124"/>
          <w:sz w:val="24"/>
          <w:szCs w:val="24"/>
          <w:lang w:bidi="ar"/>
        </w:rPr>
        <w:t>P11/V6</w:t>
      </w:r>
      <w:r w:rsidRPr="00A66303">
        <w:rPr>
          <w:rStyle w:val="y2iqfc"/>
          <w:rFonts w:ascii="Calibri" w:hAnsi="Calibri" w:cs="Times New Roman" w:hint="cs"/>
          <w:color w:val="202124"/>
          <w:sz w:val="24"/>
          <w:szCs w:val="24"/>
          <w:rtl/>
          <w:lang w:bidi="ar"/>
        </w:rPr>
        <w:t xml:space="preserve">) لشركة مناجم الفوسفات </w:t>
      </w:r>
      <w:r w:rsidR="004A0DAA" w:rsidRPr="00A66303">
        <w:rPr>
          <w:rStyle w:val="y2iqfc"/>
          <w:rFonts w:ascii="Calibri" w:hAnsi="Calibri" w:cs="Times New Roman" w:hint="cs"/>
          <w:color w:val="202124"/>
          <w:sz w:val="24"/>
          <w:szCs w:val="24"/>
          <w:rtl/>
          <w:lang w:bidi="ar"/>
        </w:rPr>
        <w:t>-</w:t>
      </w:r>
      <w:r w:rsidR="004A0DAA" w:rsidRPr="00A66303">
        <w:rPr>
          <w:rStyle w:val="y2iqfc"/>
          <w:rFonts w:ascii="Calibri" w:hAnsi="Calibri" w:cs="Times New Roman" w:hint="cs"/>
          <w:color w:val="202124"/>
          <w:sz w:val="24"/>
          <w:szCs w:val="24"/>
          <w:lang w:bidi="ar"/>
        </w:rPr>
        <w:t>SOMIPHOS</w:t>
      </w:r>
      <w:r w:rsidRPr="00A66303">
        <w:rPr>
          <w:rStyle w:val="y2iqfc"/>
          <w:rFonts w:ascii="Calibri" w:hAnsi="Calibri" w:cs="Times New Roman" w:hint="cs"/>
          <w:color w:val="202124"/>
          <w:sz w:val="24"/>
          <w:szCs w:val="24"/>
          <w:rtl/>
          <w:lang w:bidi="ar"/>
        </w:rPr>
        <w:t>، تُعلم جميع مقدمي العطاءات الذين شاركوا في الدعوة الوطنية والدولية لتقديم العطاءات</w:t>
      </w:r>
    </w:p>
    <w:p w:rsidR="00BD4000" w:rsidRDefault="00BD4000" w:rsidP="00EA001D">
      <w:pPr>
        <w:pStyle w:val="PrformatHTML"/>
        <w:shd w:val="clear" w:color="auto" w:fill="F8F9FA"/>
        <w:bidi/>
        <w:rPr>
          <w:rStyle w:val="y2iqfc"/>
          <w:rFonts w:ascii="Calibri" w:hAnsi="Calibri" w:cs="Times New Roman"/>
          <w:color w:val="202124"/>
          <w:sz w:val="24"/>
          <w:szCs w:val="24"/>
          <w:rtl/>
          <w:lang w:bidi="ar"/>
        </w:rPr>
      </w:pPr>
      <w:r w:rsidRPr="00A66303">
        <w:rPr>
          <w:rStyle w:val="y2iqfc"/>
          <w:rFonts w:ascii="Calibri" w:hAnsi="Calibri" w:cs="Times New Roman"/>
          <w:color w:val="202124"/>
          <w:sz w:val="24"/>
          <w:szCs w:val="24"/>
          <w:rtl/>
          <w:lang w:bidi="ar"/>
        </w:rPr>
        <w:t xml:space="preserve"> </w:t>
      </w:r>
      <w:proofErr w:type="gramStart"/>
      <w:r w:rsidR="004A0DAA" w:rsidRPr="00A66303">
        <w:rPr>
          <w:rStyle w:val="y2iqfc"/>
          <w:rFonts w:ascii="Calibri" w:hAnsi="Calibri" w:cs="Times New Roman" w:hint="cs"/>
          <w:color w:val="202124"/>
          <w:sz w:val="24"/>
          <w:szCs w:val="24"/>
          <w:rtl/>
          <w:lang w:bidi="ar"/>
        </w:rPr>
        <w:t>رقم</w:t>
      </w:r>
      <w:r w:rsidR="004A0DAA" w:rsidRPr="00A66303">
        <w:rPr>
          <w:rStyle w:val="y2iqfc"/>
          <w:rFonts w:ascii="Calibri" w:hAnsi="Calibri" w:cs="Times New Roman" w:hint="cs"/>
          <w:b/>
          <w:bCs/>
          <w:color w:val="202124"/>
          <w:sz w:val="24"/>
          <w:szCs w:val="24"/>
          <w:rtl/>
          <w:lang w:bidi="ar"/>
        </w:rPr>
        <w:t xml:space="preserve"> </w:t>
      </w:r>
      <w:r w:rsidR="00EA001D">
        <w:rPr>
          <w:rStyle w:val="y2iqfc"/>
          <w:rFonts w:ascii="Calibri" w:hAnsi="Calibri" w:cs="Times New Roman"/>
          <w:b/>
          <w:bCs/>
          <w:color w:val="202124"/>
          <w:sz w:val="24"/>
          <w:szCs w:val="24"/>
          <w:lang w:bidi="ar"/>
        </w:rPr>
        <w:t xml:space="preserve"> 14</w:t>
      </w:r>
      <w:proofErr w:type="gramEnd"/>
      <w:r w:rsidRPr="00713F10">
        <w:rPr>
          <w:rStyle w:val="y2iqfc"/>
          <w:rFonts w:ascii="Calibri" w:hAnsi="Calibri" w:cs="Times New Roman"/>
          <w:b/>
          <w:bCs/>
          <w:color w:val="202124"/>
          <w:sz w:val="24"/>
          <w:szCs w:val="24"/>
          <w:lang w:bidi="ar"/>
        </w:rPr>
        <w:t>/SOMIPHOS/CMDO/202</w:t>
      </w:r>
      <w:r w:rsidR="00EA001D">
        <w:rPr>
          <w:rStyle w:val="y2iqfc"/>
          <w:rFonts w:ascii="Calibri" w:hAnsi="Calibri" w:cs="Times New Roman"/>
          <w:b/>
          <w:bCs/>
          <w:color w:val="202124"/>
          <w:sz w:val="24"/>
          <w:szCs w:val="24"/>
          <w:lang w:bidi="ar"/>
        </w:rPr>
        <w:t>3</w:t>
      </w:r>
      <w:r w:rsidRPr="00A66303">
        <w:rPr>
          <w:rStyle w:val="y2iqfc"/>
          <w:rFonts w:ascii="Calibri" w:hAnsi="Calibri" w:cs="Times New Roman"/>
          <w:color w:val="202124"/>
          <w:sz w:val="24"/>
          <w:szCs w:val="24"/>
          <w:rtl/>
          <w:lang w:bidi="ar"/>
        </w:rPr>
        <w:t>المتعلقة بما يلي</w:t>
      </w:r>
      <w:r w:rsidRPr="00713F10">
        <w:rPr>
          <w:rStyle w:val="y2iqfc"/>
          <w:rFonts w:ascii="Calibri" w:hAnsi="Calibri" w:cs="Times New Roman"/>
          <w:color w:val="202124"/>
          <w:sz w:val="24"/>
          <w:szCs w:val="24"/>
          <w:rtl/>
          <w:lang w:bidi="ar"/>
        </w:rPr>
        <w:t>:</w:t>
      </w:r>
    </w:p>
    <w:p w:rsidR="004A0DAA" w:rsidRPr="00713F10" w:rsidRDefault="004A0DAA" w:rsidP="004A0DAA">
      <w:pPr>
        <w:pStyle w:val="PrformatHTML"/>
        <w:shd w:val="clear" w:color="auto" w:fill="F8F9FA"/>
        <w:bidi/>
        <w:rPr>
          <w:rStyle w:val="y2iqfc"/>
          <w:rFonts w:ascii="Calibri" w:hAnsi="Calibri" w:cs="Times New Roman"/>
          <w:color w:val="202124"/>
          <w:sz w:val="24"/>
          <w:szCs w:val="24"/>
          <w:lang w:bidi="ar"/>
        </w:rPr>
      </w:pPr>
    </w:p>
    <w:p w:rsidR="00EA001D" w:rsidRDefault="00EA001D" w:rsidP="00EA001D">
      <w:pPr>
        <w:pStyle w:val="PrformatHTML"/>
        <w:shd w:val="clear" w:color="auto" w:fill="F8F9FA"/>
        <w:bidi/>
        <w:jc w:val="center"/>
        <w:rPr>
          <w:rStyle w:val="y2iqfc"/>
          <w:rFonts w:ascii="Calibri" w:hAnsi="Calibri"/>
          <w:b/>
          <w:bCs/>
          <w:sz w:val="24"/>
          <w:szCs w:val="24"/>
          <w:lang w:bidi="ar"/>
        </w:rPr>
      </w:pPr>
      <w:r>
        <w:rPr>
          <w:rStyle w:val="y2iqfc"/>
          <w:rFonts w:ascii="Calibri" w:hAnsi="Calibri" w:cs="Times New Roman"/>
          <w:b/>
          <w:bCs/>
          <w:sz w:val="24"/>
          <w:szCs w:val="24"/>
          <w:rtl/>
          <w:lang w:bidi="ar"/>
        </w:rPr>
        <w:t xml:space="preserve">"إعادة تأهيل خطين (02) قائمين لورشة تطهير الفوسفاط بالمركب </w:t>
      </w:r>
      <w:proofErr w:type="spellStart"/>
      <w:r>
        <w:rPr>
          <w:rStyle w:val="y2iqfc"/>
          <w:rFonts w:ascii="Calibri" w:hAnsi="Calibri" w:cs="Times New Roman"/>
          <w:b/>
          <w:bCs/>
          <w:sz w:val="24"/>
          <w:szCs w:val="24"/>
          <w:rtl/>
          <w:lang w:bidi="ar"/>
        </w:rPr>
        <w:t>المن</w:t>
      </w:r>
      <w:bookmarkStart w:id="1" w:name="_GoBack"/>
      <w:bookmarkEnd w:id="1"/>
      <w:r>
        <w:rPr>
          <w:rStyle w:val="y2iqfc"/>
          <w:rFonts w:ascii="Calibri" w:hAnsi="Calibri" w:cs="Times New Roman"/>
          <w:b/>
          <w:bCs/>
          <w:sz w:val="24"/>
          <w:szCs w:val="24"/>
          <w:rtl/>
          <w:lang w:bidi="ar"/>
        </w:rPr>
        <w:t>جمي</w:t>
      </w:r>
      <w:proofErr w:type="spellEnd"/>
      <w:r>
        <w:rPr>
          <w:rStyle w:val="y2iqfc"/>
          <w:rFonts w:ascii="Calibri" w:hAnsi="Calibri" w:cs="Times New Roman"/>
          <w:b/>
          <w:bCs/>
          <w:sz w:val="24"/>
          <w:szCs w:val="24"/>
          <w:rtl/>
          <w:lang w:bidi="ar"/>
        </w:rPr>
        <w:t xml:space="preserve"> بجبل العنق – بئر العاتر – غرب تبسة، لفائدة شركة مناجم الفوسفاط </w:t>
      </w:r>
      <w:proofErr w:type="spellStart"/>
      <w:proofErr w:type="gramStart"/>
      <w:r>
        <w:rPr>
          <w:rStyle w:val="y2iqfc"/>
          <w:rFonts w:ascii="Calibri" w:hAnsi="Calibri" w:cs="Times New Roman"/>
          <w:b/>
          <w:bCs/>
          <w:sz w:val="24"/>
          <w:szCs w:val="24"/>
          <w:rtl/>
          <w:lang w:bidi="ar"/>
        </w:rPr>
        <w:t>صوميفوص</w:t>
      </w:r>
      <w:proofErr w:type="spellEnd"/>
      <w:r>
        <w:rPr>
          <w:rStyle w:val="y2iqfc"/>
          <w:rFonts w:ascii="Calibri" w:hAnsi="Calibri" w:cs="Times New Roman"/>
          <w:b/>
          <w:bCs/>
          <w:sz w:val="24"/>
          <w:szCs w:val="24"/>
          <w:rtl/>
          <w:lang w:bidi="ar"/>
        </w:rPr>
        <w:t xml:space="preserve"> ،</w:t>
      </w:r>
      <w:proofErr w:type="gramEnd"/>
      <w:r>
        <w:rPr>
          <w:rStyle w:val="y2iqfc"/>
          <w:rFonts w:ascii="Calibri" w:hAnsi="Calibri" w:cs="Times New Roman"/>
          <w:b/>
          <w:bCs/>
          <w:sz w:val="24"/>
          <w:szCs w:val="24"/>
          <w:rtl/>
          <w:lang w:bidi="ar"/>
        </w:rPr>
        <w:t xml:space="preserve"> تبسة ، الجزائر و ذلك  :</w:t>
      </w:r>
    </w:p>
    <w:p w:rsidR="00EA001D" w:rsidRDefault="00EA001D" w:rsidP="00EA001D">
      <w:pPr>
        <w:pStyle w:val="PrformatHTML"/>
        <w:shd w:val="clear" w:color="auto" w:fill="F8F9FA"/>
        <w:bidi/>
        <w:jc w:val="center"/>
        <w:rPr>
          <w:rStyle w:val="y2iqfc"/>
          <w:rFonts w:ascii="Calibri" w:hAnsi="Calibri" w:cs="Times New Roman"/>
          <w:b/>
          <w:bCs/>
          <w:sz w:val="24"/>
          <w:szCs w:val="24"/>
          <w:lang w:bidi="ar"/>
        </w:rPr>
      </w:pPr>
      <w:r>
        <w:rPr>
          <w:rStyle w:val="y2iqfc"/>
          <w:rFonts w:ascii="Calibri" w:hAnsi="Calibri" w:cs="Times New Roman"/>
          <w:b/>
          <w:bCs/>
          <w:sz w:val="24"/>
          <w:szCs w:val="24"/>
          <w:rtl/>
          <w:lang w:bidi="ar"/>
        </w:rPr>
        <w:t xml:space="preserve"> </w:t>
      </w:r>
      <w:r>
        <w:rPr>
          <w:rStyle w:val="y2iqfc"/>
          <w:rFonts w:ascii="Calibri" w:hAnsi="Calibri" w:cs="Times New Roman" w:hint="cs"/>
          <w:b/>
          <w:bCs/>
          <w:sz w:val="24"/>
          <w:szCs w:val="24"/>
          <w:rtl/>
          <w:lang w:bidi="ar"/>
        </w:rPr>
        <w:t>لتوريد وتركيب وتشغيل معدات الاستنزاف والغربلة وإزالة الترسبات مع اختبارات الأداء.</w:t>
      </w:r>
    </w:p>
    <w:p w:rsidR="004A0DAA" w:rsidRPr="00EA001D" w:rsidRDefault="004A0DAA" w:rsidP="00BD4000">
      <w:pPr>
        <w:pStyle w:val="PrformatHTML"/>
        <w:shd w:val="clear" w:color="auto" w:fill="F8F9FA"/>
        <w:bidi/>
        <w:rPr>
          <w:rStyle w:val="y2iqfc"/>
          <w:rFonts w:ascii="Calibri" w:hAnsi="Calibri" w:cs="Times New Roman"/>
          <w:color w:val="202124"/>
          <w:sz w:val="24"/>
          <w:szCs w:val="24"/>
          <w:rtl/>
          <w:lang w:bidi="ar"/>
        </w:rPr>
      </w:pPr>
    </w:p>
    <w:p w:rsidR="00BD4000" w:rsidRPr="00713F10" w:rsidRDefault="00BD4000" w:rsidP="004A0DAA">
      <w:pPr>
        <w:pStyle w:val="PrformatHTML"/>
        <w:shd w:val="clear" w:color="auto" w:fill="F8F9FA"/>
        <w:bidi/>
        <w:rPr>
          <w:rStyle w:val="y2iqfc"/>
          <w:rFonts w:ascii="Calibri" w:hAnsi="Calibri" w:cs="Times New Roman"/>
          <w:color w:val="202124"/>
          <w:sz w:val="24"/>
          <w:szCs w:val="24"/>
          <w:rtl/>
          <w:lang w:bidi="ar"/>
        </w:rPr>
      </w:pPr>
      <w:r w:rsidRPr="00713F10">
        <w:rPr>
          <w:rStyle w:val="y2iqfc"/>
          <w:rFonts w:ascii="Calibri" w:hAnsi="Calibri" w:cs="Times New Roman"/>
          <w:color w:val="202124"/>
          <w:sz w:val="24"/>
          <w:szCs w:val="24"/>
          <w:rtl/>
          <w:lang w:bidi="ar"/>
        </w:rPr>
        <w:t xml:space="preserve">أنه بعد فتح العروض التقنية والمالية وتقييمها تكون </w:t>
      </w:r>
      <w:r w:rsidRPr="00713F10">
        <w:rPr>
          <w:rStyle w:val="y2iqfc"/>
          <w:rFonts w:ascii="Calibri" w:hAnsi="Calibri" w:cs="Times New Roman" w:hint="cs"/>
          <w:color w:val="202124"/>
          <w:sz w:val="24"/>
          <w:szCs w:val="24"/>
          <w:rtl/>
          <w:lang w:bidi="ar-DZ"/>
        </w:rPr>
        <w:t>ال</w:t>
      </w:r>
      <w:r w:rsidRPr="00713F10">
        <w:rPr>
          <w:rStyle w:val="y2iqfc"/>
          <w:rFonts w:ascii="Calibri" w:hAnsi="Calibri" w:cs="Times New Roman"/>
          <w:color w:val="202124"/>
          <w:sz w:val="24"/>
          <w:szCs w:val="24"/>
          <w:rtl/>
          <w:lang w:bidi="ar"/>
        </w:rPr>
        <w:t xml:space="preserve">نتائج </w:t>
      </w:r>
      <w:r w:rsidRPr="00713F10">
        <w:rPr>
          <w:rStyle w:val="y2iqfc"/>
          <w:rFonts w:ascii="Calibri" w:hAnsi="Calibri" w:cs="Times New Roman" w:hint="cs"/>
          <w:color w:val="202124"/>
          <w:sz w:val="24"/>
          <w:szCs w:val="24"/>
          <w:rtl/>
          <w:lang w:bidi="ar"/>
        </w:rPr>
        <w:t>كما يلي:</w:t>
      </w:r>
    </w:p>
    <w:p w:rsidR="00BD4000" w:rsidRPr="00713F10" w:rsidRDefault="00BD4000" w:rsidP="00EA001D">
      <w:pPr>
        <w:pStyle w:val="PrformatHTML"/>
        <w:shd w:val="clear" w:color="auto" w:fill="F8F9FA"/>
        <w:bidi/>
        <w:rPr>
          <w:rFonts w:ascii="Calibri" w:hAnsi="Calibri" w:cs="Times New Roman"/>
          <w:color w:val="202124"/>
          <w:sz w:val="24"/>
          <w:szCs w:val="24"/>
          <w:lang w:bidi="ar"/>
        </w:rPr>
      </w:pPr>
      <w:r w:rsidRPr="00713F10">
        <w:rPr>
          <w:rStyle w:val="y2iqfc"/>
          <w:rFonts w:ascii="Calibri" w:hAnsi="Calibri" w:cs="Times New Roman"/>
          <w:color w:val="202124"/>
          <w:sz w:val="24"/>
          <w:szCs w:val="24"/>
          <w:rtl/>
          <w:lang w:bidi="ar"/>
        </w:rPr>
        <w:t xml:space="preserve">تخصيص هذه </w:t>
      </w:r>
      <w:r w:rsidRPr="00713F10">
        <w:rPr>
          <w:rStyle w:val="y2iqfc"/>
          <w:rFonts w:ascii="Calibri" w:hAnsi="Calibri" w:cs="Times New Roman"/>
          <w:color w:val="202124"/>
          <w:sz w:val="24"/>
          <w:szCs w:val="24"/>
          <w:rtl/>
          <w:lang w:bidi="ar-DZ"/>
        </w:rPr>
        <w:t>المناقصة</w:t>
      </w:r>
      <w:r w:rsidRPr="00713F10">
        <w:rPr>
          <w:rStyle w:val="y2iqfc"/>
          <w:rFonts w:ascii="Calibri" w:hAnsi="Calibri" w:cs="Times New Roman"/>
          <w:color w:val="202124"/>
          <w:sz w:val="24"/>
          <w:szCs w:val="24"/>
          <w:rtl/>
          <w:lang w:bidi="ar"/>
        </w:rPr>
        <w:t xml:space="preserve"> مؤقتًا لمقدم العرض </w:t>
      </w:r>
      <w:r w:rsidR="00EA001D" w:rsidRPr="002D5925">
        <w:rPr>
          <w:rFonts w:ascii="Century Gothic" w:hAnsi="Century Gothic"/>
          <w:b/>
          <w:bCs/>
          <w:lang w:val="en-GB"/>
        </w:rPr>
        <w:t xml:space="preserve">AKW APPARATE+VERFAHEN </w:t>
      </w:r>
      <w:proofErr w:type="gramStart"/>
      <w:r w:rsidR="00EA001D" w:rsidRPr="002D5925">
        <w:rPr>
          <w:rFonts w:ascii="Century Gothic" w:hAnsi="Century Gothic"/>
          <w:b/>
          <w:bCs/>
          <w:lang w:val="en-GB"/>
        </w:rPr>
        <w:t>GmbH-</w:t>
      </w:r>
      <w:r w:rsidR="00EA001D">
        <w:rPr>
          <w:rFonts w:ascii="Century Gothic" w:hAnsi="Century Gothic"/>
          <w:b/>
          <w:bCs/>
          <w:lang w:val="en-GB"/>
        </w:rPr>
        <w:t xml:space="preserve"> </w:t>
      </w:r>
      <w:r w:rsidR="00EA001D" w:rsidRPr="00EA001D">
        <w:rPr>
          <w:rFonts w:ascii="Century Gothic" w:hAnsi="Century Gothic"/>
          <w:b/>
          <w:bCs/>
        </w:rPr>
        <w:t>Allema</w:t>
      </w:r>
      <w:r w:rsidR="00EA001D" w:rsidRPr="00EA001D">
        <w:rPr>
          <w:rFonts w:ascii="Century Gothic" w:hAnsi="Century Gothic"/>
          <w:b/>
          <w:bCs/>
        </w:rPr>
        <w:t>gne</w:t>
      </w:r>
      <w:proofErr w:type="gramEnd"/>
      <w:r w:rsidR="00EA001D">
        <w:rPr>
          <w:rFonts w:ascii="Century Gothic" w:hAnsi="Century Gothic"/>
          <w:b/>
          <w:bCs/>
          <w:lang w:val="en-GB"/>
        </w:rPr>
        <w:t xml:space="preserve"> </w:t>
      </w:r>
      <w:r w:rsidRPr="00713F10">
        <w:rPr>
          <w:rStyle w:val="y2iqfc"/>
          <w:rFonts w:ascii="Calibri" w:hAnsi="Calibri" w:cs="Times New Roman"/>
          <w:color w:val="202124"/>
          <w:sz w:val="24"/>
          <w:szCs w:val="24"/>
          <w:rtl/>
          <w:lang w:bidi="ar"/>
        </w:rPr>
        <w:t xml:space="preserve">، </w:t>
      </w:r>
      <w:r w:rsidR="00207231">
        <w:rPr>
          <w:rFonts w:ascii="Calibri" w:hAnsi="Calibri" w:cs="Times New Roman" w:hint="cs"/>
          <w:sz w:val="24"/>
          <w:szCs w:val="24"/>
          <w:rtl/>
        </w:rPr>
        <w:t>كما</w:t>
      </w:r>
      <w:r w:rsidR="00EA001D">
        <w:rPr>
          <w:rFonts w:ascii="Calibri" w:hAnsi="Calibri" w:cs="Times New Roman"/>
          <w:sz w:val="24"/>
          <w:szCs w:val="24"/>
        </w:rPr>
        <w:t xml:space="preserve"> </w:t>
      </w:r>
      <w:r w:rsidR="00207231">
        <w:rPr>
          <w:rFonts w:ascii="Calibri" w:hAnsi="Calibri" w:cs="Times New Roman" w:hint="cs"/>
          <w:sz w:val="24"/>
          <w:szCs w:val="24"/>
          <w:rtl/>
        </w:rPr>
        <w:t>يلي</w:t>
      </w:r>
      <w:r w:rsidRPr="00713F10">
        <w:rPr>
          <w:rFonts w:ascii="Calibri" w:hAnsi="Calibri" w:cs="Times New Roman"/>
          <w:sz w:val="24"/>
          <w:szCs w:val="24"/>
          <w:rtl/>
        </w:rPr>
        <w:t>:</w:t>
      </w:r>
    </w:p>
    <w:p w:rsidR="00BD4000" w:rsidRPr="0051572F" w:rsidRDefault="00BD4000" w:rsidP="00BD4000">
      <w:pPr>
        <w:pStyle w:val="PrformatHTML"/>
        <w:shd w:val="clear" w:color="auto" w:fill="F8F9FA"/>
        <w:bidi/>
        <w:ind w:left="360"/>
        <w:jc w:val="both"/>
        <w:rPr>
          <w:sz w:val="22"/>
          <w:szCs w:val="22"/>
          <w:rtl/>
        </w:rPr>
      </w:pPr>
    </w:p>
    <w:tbl>
      <w:tblPr>
        <w:bidiVisual/>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329"/>
        <w:gridCol w:w="1452"/>
        <w:gridCol w:w="1322"/>
      </w:tblGrid>
      <w:tr w:rsidR="00207231" w:rsidRPr="0051572F" w:rsidTr="008C30E3">
        <w:trPr>
          <w:trHeight w:val="841"/>
          <w:jc w:val="center"/>
        </w:trPr>
        <w:tc>
          <w:tcPr>
            <w:tcW w:w="3119" w:type="dxa"/>
            <w:shd w:val="clear" w:color="auto" w:fill="auto"/>
          </w:tcPr>
          <w:p w:rsidR="00207231" w:rsidRPr="0051572F" w:rsidRDefault="00207231" w:rsidP="008C30E3">
            <w:pPr>
              <w:bidi/>
              <w:spacing w:after="0" w:line="240" w:lineRule="auto"/>
              <w:jc w:val="center"/>
              <w:rPr>
                <w:rFonts w:ascii="Arial" w:hAnsi="Arial"/>
                <w:b/>
                <w:bCs/>
                <w:rtl/>
              </w:rPr>
            </w:pPr>
            <w:r>
              <w:rPr>
                <w:rFonts w:ascii="Arial" w:hAnsi="Arial"/>
                <w:b/>
                <w:bCs/>
                <w:rtl/>
              </w:rPr>
              <w:t>العارض</w:t>
            </w:r>
          </w:p>
        </w:tc>
        <w:tc>
          <w:tcPr>
            <w:tcW w:w="2329" w:type="dxa"/>
          </w:tcPr>
          <w:p w:rsidR="00207231" w:rsidRPr="00BF334D" w:rsidRDefault="00207231" w:rsidP="008C30E3">
            <w:pPr>
              <w:tabs>
                <w:tab w:val="left" w:pos="540"/>
                <w:tab w:val="left" w:pos="720"/>
              </w:tabs>
              <w:spacing w:after="0" w:line="240" w:lineRule="auto"/>
              <w:jc w:val="center"/>
              <w:rPr>
                <w:b/>
                <w:bCs/>
              </w:rPr>
            </w:pPr>
            <w:r>
              <w:rPr>
                <w:rFonts w:hint="cs"/>
                <w:b/>
                <w:bCs/>
                <w:rtl/>
                <w:lang w:bidi="ar-DZ"/>
              </w:rPr>
              <w:t>مبلغ</w:t>
            </w:r>
            <w:r>
              <w:rPr>
                <w:rFonts w:hint="cs"/>
                <w:b/>
                <w:bCs/>
                <w:rtl/>
              </w:rPr>
              <w:t xml:space="preserve"> المناقصة</w:t>
            </w:r>
          </w:p>
          <w:p w:rsidR="00713954" w:rsidRPr="00BF334D" w:rsidRDefault="00EA001D" w:rsidP="008C30E3">
            <w:pPr>
              <w:tabs>
                <w:tab w:val="left" w:pos="540"/>
                <w:tab w:val="left" w:pos="720"/>
              </w:tabs>
              <w:spacing w:after="0" w:line="240" w:lineRule="auto"/>
              <w:jc w:val="center"/>
              <w:rPr>
                <w:b/>
                <w:bCs/>
              </w:rPr>
            </w:pPr>
            <w:r>
              <w:rPr>
                <w:b/>
                <w:bCs/>
              </w:rPr>
              <w:t>Euro</w:t>
            </w:r>
            <w:r w:rsidR="00207231" w:rsidRPr="00BF334D">
              <w:rPr>
                <w:b/>
                <w:bCs/>
              </w:rPr>
              <w:t>/CFR</w:t>
            </w:r>
          </w:p>
        </w:tc>
        <w:tc>
          <w:tcPr>
            <w:tcW w:w="1452" w:type="dxa"/>
          </w:tcPr>
          <w:p w:rsidR="00207231" w:rsidRDefault="00207231" w:rsidP="008C30E3">
            <w:pPr>
              <w:pStyle w:val="PrformatHTML"/>
              <w:shd w:val="clear" w:color="auto" w:fill="FFFFFF"/>
              <w:bidi/>
              <w:jc w:val="center"/>
              <w:rPr>
                <w:rFonts w:ascii="Arial" w:eastAsia="Calibri" w:hAnsi="Arial" w:cs="Arial"/>
                <w:b/>
                <w:bCs/>
                <w:color w:val="212121"/>
                <w:sz w:val="22"/>
                <w:szCs w:val="22"/>
                <w:rtl/>
                <w:lang w:bidi="ar-DZ"/>
              </w:rPr>
            </w:pPr>
            <w:r>
              <w:rPr>
                <w:rFonts w:ascii="Arial" w:eastAsia="Calibri" w:hAnsi="Arial" w:cs="Arial" w:hint="cs"/>
                <w:b/>
                <w:bCs/>
                <w:color w:val="212121"/>
                <w:sz w:val="22"/>
                <w:szCs w:val="22"/>
                <w:rtl/>
                <w:lang w:bidi="ar-DZ"/>
              </w:rPr>
              <w:t>النقطة الاجمالية</w:t>
            </w:r>
          </w:p>
          <w:p w:rsidR="00207231" w:rsidRPr="0051572F" w:rsidRDefault="00207231" w:rsidP="008C30E3">
            <w:pPr>
              <w:pStyle w:val="PrformatHTML"/>
              <w:shd w:val="clear" w:color="auto" w:fill="FFFFFF"/>
              <w:bidi/>
              <w:jc w:val="center"/>
              <w:rPr>
                <w:rFonts w:ascii="Arial" w:eastAsia="Calibri" w:hAnsi="Arial" w:cs="Arial"/>
                <w:b/>
                <w:bCs/>
                <w:color w:val="212121"/>
                <w:sz w:val="22"/>
                <w:szCs w:val="22"/>
                <w:rtl/>
                <w:lang w:bidi="ar-DZ"/>
              </w:rPr>
            </w:pPr>
            <w:r>
              <w:rPr>
                <w:rFonts w:ascii="Arial" w:eastAsia="Calibri" w:hAnsi="Arial" w:cs="Arial" w:hint="cs"/>
                <w:b/>
                <w:bCs/>
                <w:color w:val="212121"/>
                <w:sz w:val="22"/>
                <w:szCs w:val="22"/>
                <w:rtl/>
                <w:lang w:bidi="ar-DZ"/>
              </w:rPr>
              <w:t>100</w:t>
            </w:r>
            <w:r w:rsidR="00D367E0">
              <w:rPr>
                <w:rFonts w:ascii="Arial" w:eastAsia="Calibri" w:hAnsi="Arial" w:cs="Arial"/>
                <w:b/>
                <w:bCs/>
                <w:color w:val="212121"/>
                <w:sz w:val="22"/>
                <w:szCs w:val="22"/>
                <w:lang w:bidi="ar-DZ"/>
              </w:rPr>
              <w:t>/</w:t>
            </w:r>
          </w:p>
        </w:tc>
        <w:tc>
          <w:tcPr>
            <w:tcW w:w="1322" w:type="dxa"/>
            <w:shd w:val="clear" w:color="auto" w:fill="auto"/>
          </w:tcPr>
          <w:p w:rsidR="00207231" w:rsidRDefault="00207231" w:rsidP="008C30E3">
            <w:pPr>
              <w:tabs>
                <w:tab w:val="left" w:pos="540"/>
                <w:tab w:val="left" w:pos="720"/>
              </w:tabs>
              <w:spacing w:after="0" w:line="240" w:lineRule="auto"/>
              <w:jc w:val="center"/>
              <w:rPr>
                <w:b/>
                <w:bCs/>
              </w:rPr>
            </w:pPr>
            <w:r>
              <w:rPr>
                <w:rFonts w:hint="cs"/>
                <w:b/>
                <w:bCs/>
                <w:rtl/>
                <w:lang w:bidi="ar-DZ"/>
              </w:rPr>
              <w:t>معيار</w:t>
            </w:r>
            <w:r>
              <w:rPr>
                <w:rFonts w:hint="cs"/>
                <w:b/>
                <w:bCs/>
                <w:rtl/>
              </w:rPr>
              <w:t xml:space="preserve"> الاختيار</w:t>
            </w:r>
          </w:p>
          <w:p w:rsidR="00207231" w:rsidRPr="00BF334D" w:rsidRDefault="00207231" w:rsidP="008C30E3">
            <w:pPr>
              <w:tabs>
                <w:tab w:val="left" w:pos="540"/>
                <w:tab w:val="left" w:pos="720"/>
              </w:tabs>
              <w:bidi/>
              <w:spacing w:after="0" w:line="240" w:lineRule="auto"/>
              <w:jc w:val="center"/>
              <w:rPr>
                <w:b/>
                <w:bCs/>
              </w:rPr>
            </w:pPr>
            <w:r>
              <w:rPr>
                <w:rFonts w:ascii="Arial" w:hAnsi="Arial" w:hint="cs"/>
                <w:b/>
                <w:bCs/>
                <w:color w:val="212121"/>
                <w:rtl/>
                <w:lang w:bidi="ar-DZ"/>
              </w:rPr>
              <w:t>ا</w:t>
            </w:r>
            <w:r w:rsidRPr="0051572F">
              <w:rPr>
                <w:rFonts w:ascii="Arial" w:hAnsi="Arial" w:hint="cs"/>
                <w:b/>
                <w:bCs/>
                <w:color w:val="212121"/>
                <w:rtl/>
                <w:lang w:bidi="ar-DZ"/>
              </w:rPr>
              <w:t>لنقطة</w:t>
            </w:r>
            <w:r>
              <w:rPr>
                <w:rFonts w:ascii="Arial" w:hAnsi="Arial" w:hint="cs"/>
                <w:b/>
                <w:bCs/>
                <w:color w:val="212121"/>
                <w:rtl/>
                <w:lang w:bidi="ar-DZ"/>
              </w:rPr>
              <w:t xml:space="preserve"> العامة </w:t>
            </w:r>
          </w:p>
        </w:tc>
      </w:tr>
      <w:tr w:rsidR="00207231" w:rsidRPr="0051572F" w:rsidTr="008C30E3">
        <w:trPr>
          <w:trHeight w:val="807"/>
          <w:jc w:val="center"/>
        </w:trPr>
        <w:tc>
          <w:tcPr>
            <w:tcW w:w="3119" w:type="dxa"/>
            <w:shd w:val="clear" w:color="auto" w:fill="auto"/>
          </w:tcPr>
          <w:p w:rsidR="00207231" w:rsidRPr="00D367E0" w:rsidRDefault="00EA001D" w:rsidP="008C30E3">
            <w:pPr>
              <w:bidi/>
              <w:spacing w:after="0" w:line="240" w:lineRule="auto"/>
              <w:jc w:val="right"/>
              <w:rPr>
                <w:rStyle w:val="y2iqfc"/>
                <w:rFonts w:asciiTheme="minorHAnsi" w:hAnsiTheme="minorHAnsi"/>
                <w:b/>
                <w:bCs/>
                <w:color w:val="1F1F1F"/>
                <w:lang w:bidi="ar-DZ"/>
              </w:rPr>
            </w:pPr>
            <w:r w:rsidRPr="00D367E0">
              <w:rPr>
                <w:rFonts w:ascii="Century Gothic" w:hAnsi="Century Gothic"/>
                <w:b/>
                <w:bCs/>
              </w:rPr>
              <w:t xml:space="preserve">AKW APPARATE+VERFAHEN GmbH- </w:t>
            </w:r>
            <w:r w:rsidRPr="00EA001D">
              <w:rPr>
                <w:rFonts w:ascii="Century Gothic" w:hAnsi="Century Gothic"/>
                <w:b/>
                <w:bCs/>
              </w:rPr>
              <w:t>Allemagne</w:t>
            </w:r>
            <w:r>
              <w:rPr>
                <w:rStyle w:val="y2iqfc"/>
                <w:rFonts w:asciiTheme="minorHAnsi" w:hAnsiTheme="minorHAnsi" w:hint="cs"/>
                <w:b/>
                <w:bCs/>
                <w:color w:val="1F1F1F"/>
                <w:rtl/>
                <w:lang w:val="en" w:bidi="ar-DZ"/>
              </w:rPr>
              <w:t xml:space="preserve"> </w:t>
            </w:r>
            <w:r w:rsidR="00207231">
              <w:rPr>
                <w:rStyle w:val="y2iqfc"/>
                <w:rFonts w:asciiTheme="minorHAnsi" w:hAnsiTheme="minorHAnsi" w:hint="cs"/>
                <w:b/>
                <w:bCs/>
                <w:color w:val="1F1F1F"/>
                <w:rtl/>
                <w:lang w:val="en" w:bidi="ar-DZ"/>
              </w:rPr>
              <w:t>-</w:t>
            </w:r>
          </w:p>
          <w:p w:rsidR="005A3580" w:rsidRPr="005A3580" w:rsidRDefault="005A3580" w:rsidP="008C30E3">
            <w:pPr>
              <w:tabs>
                <w:tab w:val="left" w:pos="540"/>
                <w:tab w:val="left" w:pos="720"/>
              </w:tabs>
              <w:spacing w:after="0"/>
              <w:rPr>
                <w:rFonts w:asciiTheme="minorHAnsi" w:hAnsiTheme="minorHAnsi" w:cs="Times New Roman"/>
                <w:b/>
                <w:bCs/>
              </w:rPr>
            </w:pPr>
            <w:r w:rsidRPr="005A3580">
              <w:rPr>
                <w:rFonts w:asciiTheme="minorHAnsi" w:hAnsiTheme="minorHAnsi" w:cs="Times New Roman"/>
                <w:b/>
                <w:bCs/>
              </w:rPr>
              <w:t>NIF : 32-134-4533</w:t>
            </w:r>
          </w:p>
          <w:p w:rsidR="00690E34" w:rsidRDefault="00690E34" w:rsidP="00690E34">
            <w:pPr>
              <w:bidi/>
              <w:spacing w:after="0" w:line="240" w:lineRule="auto"/>
              <w:jc w:val="right"/>
              <w:rPr>
                <w:rFonts w:ascii="Arial" w:hAnsi="Arial"/>
                <w:b/>
                <w:bCs/>
                <w:rtl/>
              </w:rPr>
            </w:pPr>
          </w:p>
        </w:tc>
        <w:tc>
          <w:tcPr>
            <w:tcW w:w="2329" w:type="dxa"/>
          </w:tcPr>
          <w:p w:rsidR="00207231" w:rsidRPr="00BF334D" w:rsidRDefault="00EA001D" w:rsidP="00664C6A">
            <w:pPr>
              <w:tabs>
                <w:tab w:val="left" w:pos="540"/>
                <w:tab w:val="left" w:pos="720"/>
              </w:tabs>
              <w:jc w:val="center"/>
              <w:rPr>
                <w:lang w:val="en-GB"/>
              </w:rPr>
            </w:pPr>
            <w:r>
              <w:rPr>
                <w:rFonts w:asciiTheme="minorHAnsi" w:hAnsiTheme="minorHAnsi"/>
                <w:b/>
              </w:rPr>
              <w:t>3 385 000,00</w:t>
            </w:r>
          </w:p>
          <w:p w:rsidR="00207231" w:rsidRPr="00BF334D" w:rsidRDefault="00207231" w:rsidP="00207231">
            <w:pPr>
              <w:tabs>
                <w:tab w:val="left" w:pos="540"/>
                <w:tab w:val="left" w:pos="720"/>
              </w:tabs>
              <w:jc w:val="center"/>
              <w:rPr>
                <w:lang w:val="en-GB"/>
              </w:rPr>
            </w:pPr>
          </w:p>
        </w:tc>
        <w:tc>
          <w:tcPr>
            <w:tcW w:w="1452" w:type="dxa"/>
          </w:tcPr>
          <w:p w:rsidR="00207231" w:rsidRPr="00EA001D" w:rsidRDefault="00EA001D" w:rsidP="00207231">
            <w:pPr>
              <w:tabs>
                <w:tab w:val="left" w:pos="540"/>
                <w:tab w:val="left" w:pos="720"/>
              </w:tabs>
              <w:jc w:val="center"/>
              <w:rPr>
                <w:rFonts w:asciiTheme="minorHAnsi" w:hAnsiTheme="minorHAnsi"/>
                <w:b/>
              </w:rPr>
            </w:pPr>
            <w:r w:rsidRPr="00EA001D">
              <w:rPr>
                <w:rFonts w:asciiTheme="minorHAnsi" w:hAnsiTheme="minorHAnsi"/>
                <w:b/>
              </w:rPr>
              <w:t>98,13</w:t>
            </w:r>
          </w:p>
        </w:tc>
        <w:tc>
          <w:tcPr>
            <w:tcW w:w="1322" w:type="dxa"/>
            <w:shd w:val="clear" w:color="auto" w:fill="auto"/>
          </w:tcPr>
          <w:p w:rsidR="00207231" w:rsidRPr="00207231" w:rsidRDefault="00207231" w:rsidP="00207231">
            <w:pPr>
              <w:tabs>
                <w:tab w:val="left" w:pos="540"/>
                <w:tab w:val="left" w:pos="720"/>
              </w:tabs>
              <w:jc w:val="center"/>
              <w:rPr>
                <w:b/>
                <w:bCs/>
                <w:lang w:val="en-GB"/>
              </w:rPr>
            </w:pPr>
            <w:r>
              <w:rPr>
                <w:rFonts w:hint="cs"/>
                <w:b/>
                <w:bCs/>
                <w:rtl/>
                <w:lang w:val="en-GB"/>
              </w:rPr>
              <w:t>أحسن عرض</w:t>
            </w:r>
          </w:p>
        </w:tc>
      </w:tr>
    </w:tbl>
    <w:p w:rsidR="00BD4000" w:rsidRPr="00BD18FB" w:rsidRDefault="00BD4000" w:rsidP="00BD4000">
      <w:pPr>
        <w:pStyle w:val="PrformatHTML"/>
        <w:shd w:val="clear" w:color="auto" w:fill="F8F9FA"/>
        <w:bidi/>
        <w:rPr>
          <w:rStyle w:val="y2iqfc"/>
          <w:rFonts w:ascii="Times New Roman" w:hAnsi="Times New Roman" w:cs="Times New Roman"/>
          <w:color w:val="202124"/>
          <w:sz w:val="24"/>
          <w:szCs w:val="24"/>
          <w:lang w:bidi="ar"/>
        </w:rPr>
      </w:pPr>
    </w:p>
    <w:p w:rsidR="00825F22" w:rsidRDefault="00825F22" w:rsidP="000269D6">
      <w:pPr>
        <w:bidi/>
        <w:spacing w:after="0" w:line="240" w:lineRule="auto"/>
        <w:jc w:val="both"/>
        <w:rPr>
          <w:rFonts w:ascii="Times New Roman" w:eastAsia="Times New Roman" w:hAnsi="Times New Roman" w:cs="Times New Roman"/>
        </w:rPr>
      </w:pPr>
      <w:r>
        <w:rPr>
          <w:rFonts w:hint="cs"/>
          <w:rtl/>
        </w:rPr>
        <w:t>يجوز لجميع مقدمي العطاءات المتنافسين على هذه ال</w:t>
      </w:r>
      <w:r w:rsidR="000269D6">
        <w:rPr>
          <w:rFonts w:hint="cs"/>
          <w:rtl/>
        </w:rPr>
        <w:t>دعوة</w:t>
      </w:r>
      <w:r>
        <w:rPr>
          <w:rFonts w:hint="cs"/>
          <w:rtl/>
        </w:rPr>
        <w:t xml:space="preserve"> تقديم استئناف إلى لجنة ال</w:t>
      </w:r>
      <w:r w:rsidR="005A3580">
        <w:rPr>
          <w:rFonts w:hint="cs"/>
          <w:rtl/>
        </w:rPr>
        <w:t>صفقات</w:t>
      </w:r>
      <w:r w:rsidR="003E42FA">
        <w:t xml:space="preserve"> </w:t>
      </w:r>
      <w:proofErr w:type="spellStart"/>
      <w:r w:rsidR="003E42FA">
        <w:rPr>
          <w:rFonts w:hint="cs"/>
          <w:rtl/>
          <w:lang w:bidi="ar-DZ"/>
        </w:rPr>
        <w:t>لصوميفوص</w:t>
      </w:r>
      <w:proofErr w:type="spellEnd"/>
      <w:r w:rsidR="00AF30EA">
        <w:t xml:space="preserve"> </w:t>
      </w:r>
      <w:r>
        <w:rPr>
          <w:rFonts w:hint="cs"/>
          <w:rtl/>
        </w:rPr>
        <w:t xml:space="preserve">في غضون عشرة (10) أيام من تاريخ نشر هذا الإشعار في الصحف الوطنية أو </w:t>
      </w:r>
      <w:r>
        <w:t>BAOSEM</w:t>
      </w:r>
      <w:r>
        <w:rPr>
          <w:rFonts w:hint="cs"/>
          <w:rtl/>
        </w:rPr>
        <w:t>؛ موجه إلى:</w:t>
      </w:r>
    </w:p>
    <w:p w:rsidR="00825F22" w:rsidRPr="000269D6" w:rsidRDefault="00825F22" w:rsidP="00825F22">
      <w:pPr>
        <w:spacing w:after="0" w:line="240" w:lineRule="auto"/>
        <w:jc w:val="center"/>
        <w:rPr>
          <w:b/>
          <w:bCs/>
        </w:rPr>
      </w:pPr>
      <w:r w:rsidRPr="000269D6">
        <w:rPr>
          <w:b/>
          <w:bCs/>
        </w:rPr>
        <w:t>SOMIPHOS</w:t>
      </w:r>
      <w:r w:rsidRPr="000269D6">
        <w:rPr>
          <w:rFonts w:hint="cs"/>
          <w:b/>
          <w:bCs/>
          <w:rtl/>
        </w:rPr>
        <w:t xml:space="preserve">، </w:t>
      </w:r>
      <w:r w:rsidRPr="000269D6">
        <w:rPr>
          <w:b/>
          <w:bCs/>
        </w:rPr>
        <w:t>Spa</w:t>
      </w:r>
    </w:p>
    <w:p w:rsidR="00825F22" w:rsidRPr="000269D6" w:rsidRDefault="00825F22" w:rsidP="00825F22">
      <w:pPr>
        <w:spacing w:after="0" w:line="240" w:lineRule="auto"/>
        <w:jc w:val="center"/>
        <w:rPr>
          <w:b/>
          <w:bCs/>
        </w:rPr>
      </w:pPr>
      <w:r w:rsidRPr="000269D6">
        <w:rPr>
          <w:rFonts w:hint="cs"/>
          <w:b/>
          <w:bCs/>
          <w:rtl/>
        </w:rPr>
        <w:t>مقر الإدارة العامة، الجرف، تبسة</w:t>
      </w:r>
    </w:p>
    <w:p w:rsidR="00825F22" w:rsidRPr="000269D6" w:rsidRDefault="00825F22" w:rsidP="00825F22">
      <w:pPr>
        <w:spacing w:after="0" w:line="240" w:lineRule="auto"/>
        <w:jc w:val="center"/>
        <w:rPr>
          <w:b/>
          <w:bCs/>
        </w:rPr>
      </w:pPr>
      <w:r w:rsidRPr="000269D6">
        <w:rPr>
          <w:b/>
          <w:bCs/>
        </w:rPr>
        <w:t>Ou/BP 122 Zhune II –12000</w:t>
      </w:r>
      <w:r w:rsidRPr="000269D6">
        <w:rPr>
          <w:rFonts w:hint="cs"/>
          <w:b/>
          <w:bCs/>
          <w:rtl/>
        </w:rPr>
        <w:t xml:space="preserve"> تبسة، الجزائر</w:t>
      </w:r>
    </w:p>
    <w:p w:rsidR="00825F22" w:rsidRPr="000269D6" w:rsidRDefault="00825F22" w:rsidP="00825F22">
      <w:pPr>
        <w:spacing w:after="0" w:line="240" w:lineRule="auto"/>
        <w:jc w:val="center"/>
        <w:rPr>
          <w:b/>
          <w:bCs/>
        </w:rPr>
      </w:pPr>
      <w:r w:rsidRPr="000269D6">
        <w:rPr>
          <w:rFonts w:hint="cs"/>
          <w:b/>
          <w:bCs/>
          <w:rtl/>
        </w:rPr>
        <w:t>للاستفسار: فاكس: 037.58.52.61</w:t>
      </w:r>
    </w:p>
    <w:p w:rsidR="00825F22" w:rsidRPr="000269D6" w:rsidRDefault="00825F22" w:rsidP="00825F22">
      <w:pPr>
        <w:spacing w:after="0" w:line="240" w:lineRule="auto"/>
        <w:jc w:val="center"/>
        <w:rPr>
          <w:b/>
          <w:bCs/>
        </w:rPr>
      </w:pPr>
      <w:r w:rsidRPr="000269D6">
        <w:rPr>
          <w:rFonts w:hint="cs"/>
          <w:b/>
          <w:bCs/>
          <w:rtl/>
        </w:rPr>
        <w:t>أو بريد إلكتروني:</w:t>
      </w:r>
    </w:p>
    <w:p w:rsidR="00825F22" w:rsidRPr="00AF30EA" w:rsidRDefault="00AF30EA" w:rsidP="00825F22">
      <w:pPr>
        <w:spacing w:after="0" w:line="240" w:lineRule="auto"/>
        <w:jc w:val="center"/>
        <w:rPr>
          <w:b/>
          <w:bCs/>
        </w:rPr>
      </w:pPr>
      <w:hyperlink r:id="rId10" w:history="1">
        <w:r w:rsidRPr="00AF30EA">
          <w:rPr>
            <w:rStyle w:val="Lienhypertexte"/>
            <w:b/>
            <w:bCs/>
          </w:rPr>
          <w:t>cdm.somiphos.dg@gmail.com</w:t>
        </w:r>
      </w:hyperlink>
      <w:r w:rsidRPr="00AF30EA">
        <w:rPr>
          <w:b/>
          <w:bCs/>
        </w:rPr>
        <w:t xml:space="preserve"> </w:t>
      </w:r>
    </w:p>
    <w:p w:rsidR="00825F22" w:rsidRPr="00AF30EA" w:rsidRDefault="00825F22" w:rsidP="00825F22">
      <w:pPr>
        <w:spacing w:after="0" w:line="240" w:lineRule="auto"/>
        <w:jc w:val="center"/>
        <w:rPr>
          <w:b/>
          <w:bCs/>
        </w:rPr>
      </w:pPr>
      <w:r w:rsidRPr="00AF30EA">
        <w:rPr>
          <w:rFonts w:hint="cs"/>
          <w:b/>
          <w:bCs/>
          <w:rtl/>
        </w:rPr>
        <w:t>و</w:t>
      </w:r>
    </w:p>
    <w:p w:rsidR="00825F22" w:rsidRPr="00AF30EA" w:rsidRDefault="00AF30EA" w:rsidP="00825F22">
      <w:pPr>
        <w:spacing w:after="0" w:line="240" w:lineRule="auto"/>
        <w:jc w:val="center"/>
        <w:rPr>
          <w:b/>
          <w:bCs/>
        </w:rPr>
      </w:pPr>
      <w:hyperlink r:id="rId11" w:history="1">
        <w:r w:rsidRPr="00AF30EA">
          <w:rPr>
            <w:rStyle w:val="Lienhypertexte"/>
            <w:b/>
            <w:bCs/>
          </w:rPr>
          <w:t>appels.offres@somiphos.com</w:t>
        </w:r>
      </w:hyperlink>
      <w:r w:rsidRPr="00AF30EA">
        <w:rPr>
          <w:b/>
          <w:bCs/>
        </w:rPr>
        <w:t xml:space="preserve"> </w:t>
      </w:r>
    </w:p>
    <w:p w:rsidR="00825F22" w:rsidRDefault="00825F22" w:rsidP="00825F22">
      <w:pPr>
        <w:spacing w:after="0" w:line="240" w:lineRule="auto"/>
        <w:jc w:val="right"/>
      </w:pPr>
    </w:p>
    <w:p w:rsidR="000269D6" w:rsidRDefault="00825F22" w:rsidP="000269D6">
      <w:pPr>
        <w:tabs>
          <w:tab w:val="left" w:pos="540"/>
          <w:tab w:val="left" w:pos="720"/>
        </w:tabs>
        <w:spacing w:after="0" w:line="240" w:lineRule="auto"/>
        <w:jc w:val="both"/>
        <w:rPr>
          <w:rtl/>
        </w:rPr>
      </w:pPr>
      <w:r>
        <w:rPr>
          <w:rtl/>
        </w:rPr>
        <w:t xml:space="preserve">كما ندعو مقدمي العروض الراغبين في الاطلاع على النتائج التفصيلية لتقييم طلباتهم وعروضهم الفنية والمالية، إلى مراجعة خدماتنا </w:t>
      </w:r>
    </w:p>
    <w:p w:rsidR="00713954" w:rsidRPr="001234A6" w:rsidRDefault="00825F22" w:rsidP="000269D6">
      <w:pPr>
        <w:tabs>
          <w:tab w:val="left" w:pos="540"/>
          <w:tab w:val="left" w:pos="720"/>
        </w:tabs>
        <w:bidi/>
        <w:spacing w:after="0" w:line="240" w:lineRule="auto"/>
        <w:jc w:val="both"/>
        <w:rPr>
          <w:rFonts w:asciiTheme="minorHAnsi" w:hAnsiTheme="minorHAnsi"/>
        </w:rPr>
      </w:pPr>
      <w:r>
        <w:rPr>
          <w:rtl/>
        </w:rPr>
        <w:t>في موعد أقصاه ثلاثة (03) أيام من تاريخ نشر إعلان ال</w:t>
      </w:r>
      <w:r w:rsidR="000269D6">
        <w:rPr>
          <w:rFonts w:hint="cs"/>
          <w:rtl/>
        </w:rPr>
        <w:t>منح</w:t>
      </w:r>
      <w:r w:rsidR="000269D6">
        <w:rPr>
          <w:rtl/>
        </w:rPr>
        <w:t xml:space="preserve"> </w:t>
      </w:r>
      <w:r w:rsidR="004B0395">
        <w:rPr>
          <w:rFonts w:hint="cs"/>
          <w:rtl/>
        </w:rPr>
        <w:t>المؤقتة،</w:t>
      </w:r>
      <w:r>
        <w:rPr>
          <w:rtl/>
        </w:rPr>
        <w:t xml:space="preserve"> لإبلاغهم بهذه النتائج</w:t>
      </w:r>
    </w:p>
    <w:p w:rsidR="00BD4000" w:rsidRPr="00713954" w:rsidRDefault="00BD4000" w:rsidP="00825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lang w:bidi="ar-DZ"/>
        </w:rPr>
      </w:pPr>
    </w:p>
    <w:p w:rsidR="0021735A" w:rsidRPr="001234A6" w:rsidRDefault="00445D9A" w:rsidP="00445D9A">
      <w:pPr>
        <w:bidi/>
        <w:spacing w:after="0"/>
        <w:jc w:val="center"/>
        <w:rPr>
          <w:rFonts w:asciiTheme="minorHAnsi" w:hAnsiTheme="minorHAnsi" w:cs="Times New Roman"/>
          <w:b/>
          <w:bCs/>
          <w:color w:val="0000FF"/>
          <w:u w:val="single"/>
          <w:rtl/>
        </w:rPr>
      </w:pPr>
      <w:r w:rsidRPr="001234A6">
        <w:rPr>
          <w:rFonts w:asciiTheme="minorHAnsi" w:hAnsiTheme="minorHAnsi" w:cs="Times New Roman"/>
          <w:b/>
          <w:bCs/>
          <w:color w:val="0000FF"/>
          <w:u w:val="single"/>
          <w:rtl/>
        </w:rPr>
        <w:t xml:space="preserve"> </w:t>
      </w:r>
    </w:p>
    <w:sectPr w:rsidR="0021735A" w:rsidRPr="001234A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AF" w:rsidRDefault="00B717AF" w:rsidP="00454ED8">
      <w:pPr>
        <w:spacing w:after="0" w:line="240" w:lineRule="auto"/>
      </w:pPr>
      <w:r>
        <w:separator/>
      </w:r>
    </w:p>
  </w:endnote>
  <w:endnote w:type="continuationSeparator" w:id="0">
    <w:p w:rsidR="00B717AF" w:rsidRDefault="00B717AF" w:rsidP="0045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AF" w:rsidRDefault="00B717AF" w:rsidP="00454ED8">
      <w:pPr>
        <w:spacing w:after="0" w:line="240" w:lineRule="auto"/>
      </w:pPr>
      <w:r>
        <w:separator/>
      </w:r>
    </w:p>
  </w:footnote>
  <w:footnote w:type="continuationSeparator" w:id="0">
    <w:p w:rsidR="00B717AF" w:rsidRDefault="00B717AF" w:rsidP="0045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D8" w:rsidRDefault="00454ED8">
    <w:pPr>
      <w:pStyle w:val="En-tte"/>
    </w:pPr>
    <w:r>
      <w:rPr>
        <w:noProof/>
        <w:lang w:eastAsia="fr-FR"/>
      </w:rPr>
      <w:drawing>
        <wp:anchor distT="0" distB="0" distL="114300" distR="114300" simplePos="0" relativeHeight="251658240" behindDoc="1" locked="0" layoutInCell="1" allowOverlap="1" wp14:anchorId="436353B7" wp14:editId="548F68E6">
          <wp:simplePos x="0" y="0"/>
          <wp:positionH relativeFrom="column">
            <wp:posOffset>2282106</wp:posOffset>
          </wp:positionH>
          <wp:positionV relativeFrom="paragraph">
            <wp:posOffset>-296299</wp:posOffset>
          </wp:positionV>
          <wp:extent cx="1126490" cy="623695"/>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62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097E1182" wp14:editId="44725209">
          <wp:simplePos x="0" y="0"/>
          <wp:positionH relativeFrom="column">
            <wp:posOffset>-767656</wp:posOffset>
          </wp:positionH>
          <wp:positionV relativeFrom="paragraph">
            <wp:posOffset>-343869</wp:posOffset>
          </wp:positionV>
          <wp:extent cx="7207129" cy="6381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7129"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CD"/>
    <w:rsid w:val="000269D6"/>
    <w:rsid w:val="00033BA3"/>
    <w:rsid w:val="00042CCA"/>
    <w:rsid w:val="001234A6"/>
    <w:rsid w:val="001802C3"/>
    <w:rsid w:val="001B6A91"/>
    <w:rsid w:val="00207231"/>
    <w:rsid w:val="0021735A"/>
    <w:rsid w:val="002D5925"/>
    <w:rsid w:val="002E51C7"/>
    <w:rsid w:val="0035284B"/>
    <w:rsid w:val="00375FBA"/>
    <w:rsid w:val="003E42FA"/>
    <w:rsid w:val="0041081A"/>
    <w:rsid w:val="0043143C"/>
    <w:rsid w:val="00445D9A"/>
    <w:rsid w:val="00454ED8"/>
    <w:rsid w:val="004A0DAA"/>
    <w:rsid w:val="004B0395"/>
    <w:rsid w:val="004D0984"/>
    <w:rsid w:val="00507F16"/>
    <w:rsid w:val="005120EE"/>
    <w:rsid w:val="00531647"/>
    <w:rsid w:val="005A3580"/>
    <w:rsid w:val="005F42B4"/>
    <w:rsid w:val="006421DB"/>
    <w:rsid w:val="00664C6A"/>
    <w:rsid w:val="00690E34"/>
    <w:rsid w:val="006912BA"/>
    <w:rsid w:val="00691DE6"/>
    <w:rsid w:val="006C0D9C"/>
    <w:rsid w:val="006C2057"/>
    <w:rsid w:val="00713954"/>
    <w:rsid w:val="0073130D"/>
    <w:rsid w:val="00760A12"/>
    <w:rsid w:val="007627D5"/>
    <w:rsid w:val="007C7440"/>
    <w:rsid w:val="007D5A85"/>
    <w:rsid w:val="00825F22"/>
    <w:rsid w:val="008C30E3"/>
    <w:rsid w:val="00917959"/>
    <w:rsid w:val="009E7E47"/>
    <w:rsid w:val="00A200C8"/>
    <w:rsid w:val="00A66303"/>
    <w:rsid w:val="00A706FD"/>
    <w:rsid w:val="00AF30EA"/>
    <w:rsid w:val="00B717AF"/>
    <w:rsid w:val="00BD4000"/>
    <w:rsid w:val="00BD4BDC"/>
    <w:rsid w:val="00BF024A"/>
    <w:rsid w:val="00BF31D1"/>
    <w:rsid w:val="00C34B87"/>
    <w:rsid w:val="00D367E0"/>
    <w:rsid w:val="00D45F9D"/>
    <w:rsid w:val="00DB6D1B"/>
    <w:rsid w:val="00DD3D8D"/>
    <w:rsid w:val="00DD7935"/>
    <w:rsid w:val="00E011CD"/>
    <w:rsid w:val="00EA001D"/>
    <w:rsid w:val="00F87A51"/>
    <w:rsid w:val="00F950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FF1E98-1E1F-4D13-9CFE-70D3F55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C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Знак Знак1"/>
    <w:basedOn w:val="Normal"/>
    <w:rsid w:val="00042CCA"/>
    <w:pPr>
      <w:spacing w:after="160" w:line="240" w:lineRule="exact"/>
    </w:pPr>
    <w:rPr>
      <w:rFonts w:ascii="Verdana" w:eastAsia="Times New Roman" w:hAnsi="Verdana" w:cs="Times New Roman"/>
      <w:sz w:val="20"/>
      <w:szCs w:val="20"/>
      <w:lang w:val="en-US"/>
    </w:rPr>
  </w:style>
  <w:style w:type="paragraph" w:styleId="En-tte">
    <w:name w:val="header"/>
    <w:basedOn w:val="Normal"/>
    <w:link w:val="En-tteCar"/>
    <w:uiPriority w:val="99"/>
    <w:unhideWhenUsed/>
    <w:rsid w:val="00454ED8"/>
    <w:pPr>
      <w:tabs>
        <w:tab w:val="center" w:pos="4536"/>
        <w:tab w:val="right" w:pos="9072"/>
      </w:tabs>
      <w:spacing w:after="0" w:line="240" w:lineRule="auto"/>
    </w:pPr>
  </w:style>
  <w:style w:type="character" w:customStyle="1" w:styleId="En-tteCar">
    <w:name w:val="En-tête Car"/>
    <w:basedOn w:val="Policepardfaut"/>
    <w:link w:val="En-tte"/>
    <w:uiPriority w:val="99"/>
    <w:rsid w:val="00454ED8"/>
    <w:rPr>
      <w:rFonts w:ascii="Calibri" w:eastAsia="Calibri" w:hAnsi="Calibri" w:cs="Arial"/>
    </w:rPr>
  </w:style>
  <w:style w:type="paragraph" w:styleId="Pieddepage">
    <w:name w:val="footer"/>
    <w:basedOn w:val="Normal"/>
    <w:link w:val="PieddepageCar"/>
    <w:uiPriority w:val="99"/>
    <w:unhideWhenUsed/>
    <w:rsid w:val="00454E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ED8"/>
    <w:rPr>
      <w:rFonts w:ascii="Calibri" w:eastAsia="Calibri" w:hAnsi="Calibri" w:cs="Arial"/>
    </w:rPr>
  </w:style>
  <w:style w:type="paragraph" w:styleId="Textedebulles">
    <w:name w:val="Balloon Text"/>
    <w:basedOn w:val="Normal"/>
    <w:link w:val="TextedebullesCar"/>
    <w:uiPriority w:val="99"/>
    <w:semiHidden/>
    <w:unhideWhenUsed/>
    <w:rsid w:val="006C0D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D9C"/>
    <w:rPr>
      <w:rFonts w:ascii="Segoe UI" w:eastAsia="Calibri" w:hAnsi="Segoe UI" w:cs="Segoe UI"/>
      <w:sz w:val="18"/>
      <w:szCs w:val="18"/>
    </w:rPr>
  </w:style>
  <w:style w:type="character" w:styleId="Lienhypertexte">
    <w:name w:val="Hyperlink"/>
    <w:basedOn w:val="Policepardfaut"/>
    <w:uiPriority w:val="99"/>
    <w:unhideWhenUsed/>
    <w:rsid w:val="00445D9A"/>
    <w:rPr>
      <w:color w:val="0563C1" w:themeColor="hyperlink"/>
      <w:u w:val="single"/>
    </w:rPr>
  </w:style>
  <w:style w:type="paragraph" w:styleId="Paragraphedeliste">
    <w:name w:val="List Paragraph"/>
    <w:basedOn w:val="Normal"/>
    <w:uiPriority w:val="34"/>
    <w:qFormat/>
    <w:rsid w:val="001234A6"/>
    <w:pPr>
      <w:ind w:left="720"/>
      <w:contextualSpacing/>
    </w:pPr>
  </w:style>
  <w:style w:type="paragraph" w:customStyle="1" w:styleId="10">
    <w:name w:val="Знак Знак1"/>
    <w:basedOn w:val="Normal"/>
    <w:rsid w:val="006C2057"/>
    <w:pPr>
      <w:spacing w:after="160" w:line="240" w:lineRule="exact"/>
    </w:pPr>
    <w:rPr>
      <w:rFonts w:ascii="Verdana" w:eastAsia="Times New Roman" w:hAnsi="Verdana" w:cs="Times New Roman"/>
      <w:sz w:val="20"/>
      <w:szCs w:val="20"/>
      <w:lang w:val="en-US"/>
    </w:rPr>
  </w:style>
  <w:style w:type="paragraph" w:styleId="PrformatHTML">
    <w:name w:val="HTML Preformatted"/>
    <w:basedOn w:val="Normal"/>
    <w:link w:val="PrformatHTMLCar"/>
    <w:uiPriority w:val="99"/>
    <w:unhideWhenUsed/>
    <w:rsid w:val="00BD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D4000"/>
    <w:rPr>
      <w:rFonts w:ascii="Courier New" w:eastAsia="Times New Roman" w:hAnsi="Courier New" w:cs="Courier New"/>
      <w:sz w:val="20"/>
      <w:szCs w:val="20"/>
      <w:lang w:eastAsia="fr-FR"/>
    </w:rPr>
  </w:style>
  <w:style w:type="character" w:customStyle="1" w:styleId="y2iqfc">
    <w:name w:val="y2iqfc"/>
    <w:rsid w:val="00BD4000"/>
  </w:style>
  <w:style w:type="paragraph" w:customStyle="1" w:styleId="11">
    <w:name w:val=" Знак Знак1"/>
    <w:basedOn w:val="Normal"/>
    <w:rsid w:val="002D5925"/>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6303">
      <w:bodyDiv w:val="1"/>
      <w:marLeft w:val="0"/>
      <w:marRight w:val="0"/>
      <w:marTop w:val="0"/>
      <w:marBottom w:val="0"/>
      <w:divBdr>
        <w:top w:val="none" w:sz="0" w:space="0" w:color="auto"/>
        <w:left w:val="none" w:sz="0" w:space="0" w:color="auto"/>
        <w:bottom w:val="none" w:sz="0" w:space="0" w:color="auto"/>
        <w:right w:val="none" w:sz="0" w:space="0" w:color="auto"/>
      </w:divBdr>
    </w:div>
    <w:div w:id="75712523">
      <w:bodyDiv w:val="1"/>
      <w:marLeft w:val="0"/>
      <w:marRight w:val="0"/>
      <w:marTop w:val="0"/>
      <w:marBottom w:val="0"/>
      <w:divBdr>
        <w:top w:val="none" w:sz="0" w:space="0" w:color="auto"/>
        <w:left w:val="none" w:sz="0" w:space="0" w:color="auto"/>
        <w:bottom w:val="none" w:sz="0" w:space="0" w:color="auto"/>
        <w:right w:val="none" w:sz="0" w:space="0" w:color="auto"/>
      </w:divBdr>
    </w:div>
    <w:div w:id="119879775">
      <w:bodyDiv w:val="1"/>
      <w:marLeft w:val="0"/>
      <w:marRight w:val="0"/>
      <w:marTop w:val="0"/>
      <w:marBottom w:val="0"/>
      <w:divBdr>
        <w:top w:val="none" w:sz="0" w:space="0" w:color="auto"/>
        <w:left w:val="none" w:sz="0" w:space="0" w:color="auto"/>
        <w:bottom w:val="none" w:sz="0" w:space="0" w:color="auto"/>
        <w:right w:val="none" w:sz="0" w:space="0" w:color="auto"/>
      </w:divBdr>
    </w:div>
    <w:div w:id="121577650">
      <w:bodyDiv w:val="1"/>
      <w:marLeft w:val="0"/>
      <w:marRight w:val="0"/>
      <w:marTop w:val="0"/>
      <w:marBottom w:val="0"/>
      <w:divBdr>
        <w:top w:val="none" w:sz="0" w:space="0" w:color="auto"/>
        <w:left w:val="none" w:sz="0" w:space="0" w:color="auto"/>
        <w:bottom w:val="none" w:sz="0" w:space="0" w:color="auto"/>
        <w:right w:val="none" w:sz="0" w:space="0" w:color="auto"/>
      </w:divBdr>
    </w:div>
    <w:div w:id="139350699">
      <w:bodyDiv w:val="1"/>
      <w:marLeft w:val="0"/>
      <w:marRight w:val="0"/>
      <w:marTop w:val="0"/>
      <w:marBottom w:val="0"/>
      <w:divBdr>
        <w:top w:val="none" w:sz="0" w:space="0" w:color="auto"/>
        <w:left w:val="none" w:sz="0" w:space="0" w:color="auto"/>
        <w:bottom w:val="none" w:sz="0" w:space="0" w:color="auto"/>
        <w:right w:val="none" w:sz="0" w:space="0" w:color="auto"/>
      </w:divBdr>
    </w:div>
    <w:div w:id="156924025">
      <w:bodyDiv w:val="1"/>
      <w:marLeft w:val="0"/>
      <w:marRight w:val="0"/>
      <w:marTop w:val="0"/>
      <w:marBottom w:val="0"/>
      <w:divBdr>
        <w:top w:val="none" w:sz="0" w:space="0" w:color="auto"/>
        <w:left w:val="none" w:sz="0" w:space="0" w:color="auto"/>
        <w:bottom w:val="none" w:sz="0" w:space="0" w:color="auto"/>
        <w:right w:val="none" w:sz="0" w:space="0" w:color="auto"/>
      </w:divBdr>
    </w:div>
    <w:div w:id="193350943">
      <w:bodyDiv w:val="1"/>
      <w:marLeft w:val="0"/>
      <w:marRight w:val="0"/>
      <w:marTop w:val="0"/>
      <w:marBottom w:val="0"/>
      <w:divBdr>
        <w:top w:val="none" w:sz="0" w:space="0" w:color="auto"/>
        <w:left w:val="none" w:sz="0" w:space="0" w:color="auto"/>
        <w:bottom w:val="none" w:sz="0" w:space="0" w:color="auto"/>
        <w:right w:val="none" w:sz="0" w:space="0" w:color="auto"/>
      </w:divBdr>
    </w:div>
    <w:div w:id="205073202">
      <w:bodyDiv w:val="1"/>
      <w:marLeft w:val="0"/>
      <w:marRight w:val="0"/>
      <w:marTop w:val="0"/>
      <w:marBottom w:val="0"/>
      <w:divBdr>
        <w:top w:val="none" w:sz="0" w:space="0" w:color="auto"/>
        <w:left w:val="none" w:sz="0" w:space="0" w:color="auto"/>
        <w:bottom w:val="none" w:sz="0" w:space="0" w:color="auto"/>
        <w:right w:val="none" w:sz="0" w:space="0" w:color="auto"/>
      </w:divBdr>
    </w:div>
    <w:div w:id="598026334">
      <w:bodyDiv w:val="1"/>
      <w:marLeft w:val="0"/>
      <w:marRight w:val="0"/>
      <w:marTop w:val="0"/>
      <w:marBottom w:val="0"/>
      <w:divBdr>
        <w:top w:val="none" w:sz="0" w:space="0" w:color="auto"/>
        <w:left w:val="none" w:sz="0" w:space="0" w:color="auto"/>
        <w:bottom w:val="none" w:sz="0" w:space="0" w:color="auto"/>
        <w:right w:val="none" w:sz="0" w:space="0" w:color="auto"/>
      </w:divBdr>
    </w:div>
    <w:div w:id="903300755">
      <w:bodyDiv w:val="1"/>
      <w:marLeft w:val="0"/>
      <w:marRight w:val="0"/>
      <w:marTop w:val="0"/>
      <w:marBottom w:val="0"/>
      <w:divBdr>
        <w:top w:val="none" w:sz="0" w:space="0" w:color="auto"/>
        <w:left w:val="none" w:sz="0" w:space="0" w:color="auto"/>
        <w:bottom w:val="none" w:sz="0" w:space="0" w:color="auto"/>
        <w:right w:val="none" w:sz="0" w:space="0" w:color="auto"/>
      </w:divBdr>
    </w:div>
    <w:div w:id="1161852434">
      <w:bodyDiv w:val="1"/>
      <w:marLeft w:val="0"/>
      <w:marRight w:val="0"/>
      <w:marTop w:val="0"/>
      <w:marBottom w:val="0"/>
      <w:divBdr>
        <w:top w:val="none" w:sz="0" w:space="0" w:color="auto"/>
        <w:left w:val="none" w:sz="0" w:space="0" w:color="auto"/>
        <w:bottom w:val="none" w:sz="0" w:space="0" w:color="auto"/>
        <w:right w:val="none" w:sz="0" w:space="0" w:color="auto"/>
      </w:divBdr>
    </w:div>
    <w:div w:id="1610695737">
      <w:bodyDiv w:val="1"/>
      <w:marLeft w:val="0"/>
      <w:marRight w:val="0"/>
      <w:marTop w:val="0"/>
      <w:marBottom w:val="0"/>
      <w:divBdr>
        <w:top w:val="none" w:sz="0" w:space="0" w:color="auto"/>
        <w:left w:val="none" w:sz="0" w:space="0" w:color="auto"/>
        <w:bottom w:val="none" w:sz="0" w:space="0" w:color="auto"/>
        <w:right w:val="none" w:sz="0" w:space="0" w:color="auto"/>
      </w:divBdr>
    </w:div>
    <w:div w:id="2006590929">
      <w:bodyDiv w:val="1"/>
      <w:marLeft w:val="0"/>
      <w:marRight w:val="0"/>
      <w:marTop w:val="0"/>
      <w:marBottom w:val="0"/>
      <w:divBdr>
        <w:top w:val="none" w:sz="0" w:space="0" w:color="auto"/>
        <w:left w:val="none" w:sz="0" w:space="0" w:color="auto"/>
        <w:bottom w:val="none" w:sz="0" w:space="0" w:color="auto"/>
        <w:right w:val="none" w:sz="0" w:space="0" w:color="auto"/>
      </w:divBdr>
    </w:div>
    <w:div w:id="20818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m.somiphos.dg@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t.somiphos17@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m.somiphos.dg@gmail.com" TargetMode="External"/><Relationship Id="rId11" Type="http://schemas.openxmlformats.org/officeDocument/2006/relationships/hyperlink" Target="mailto:appels.offres@somiphos.com" TargetMode="External"/><Relationship Id="rId5" Type="http://schemas.openxmlformats.org/officeDocument/2006/relationships/endnotes" Target="endnotes.xml"/><Relationship Id="rId10" Type="http://schemas.openxmlformats.org/officeDocument/2006/relationships/hyperlink" Target="mailto:cdm.somiphos.dg@gmail.com" TargetMode="External"/><Relationship Id="rId4" Type="http://schemas.openxmlformats.org/officeDocument/2006/relationships/footnotes" Target="footnotes.xml"/><Relationship Id="rId9" Type="http://schemas.openxmlformats.org/officeDocument/2006/relationships/hyperlink" Target="mailto:dt.somiphos1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2422</TotalTime>
  <Pages>3</Pages>
  <Words>884</Words>
  <Characters>4868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Khouloud Mesloub</dc:creator>
  <cp:keywords/>
  <dc:description/>
  <cp:lastModifiedBy>Salima Messabhia</cp:lastModifiedBy>
  <cp:revision>21</cp:revision>
  <cp:lastPrinted>2025-04-21T13:53:00Z</cp:lastPrinted>
  <dcterms:created xsi:type="dcterms:W3CDTF">2025-04-21T13:36:00Z</dcterms:created>
  <dcterms:modified xsi:type="dcterms:W3CDTF">2025-07-09T09:33:00Z</dcterms:modified>
</cp:coreProperties>
</file>